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3BCCB626"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1F73EB">
        <w:rPr>
          <w:b/>
          <w:color w:val="000000" w:themeColor="text1"/>
          <w:szCs w:val="20"/>
        </w:rPr>
        <w:t>9</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81D08" w:rsidRPr="001F2160">
        <w:rPr>
          <w:color w:val="000000" w:themeColor="text1"/>
          <w:szCs w:val="20"/>
        </w:rPr>
        <w:t>202</w:t>
      </w:r>
      <w:r w:rsidR="00975F34" w:rsidRPr="001F2160">
        <w:rPr>
          <w:color w:val="000000" w:themeColor="text1"/>
          <w:szCs w:val="20"/>
        </w:rPr>
        <w:t>2-</w:t>
      </w:r>
      <w:bookmarkEnd w:id="0"/>
      <w:r w:rsidR="001F73EB">
        <w:rPr>
          <w:color w:val="000000" w:themeColor="text1"/>
          <w:szCs w:val="20"/>
        </w:rPr>
        <w:t>05-06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6E1AB105"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1F73EB">
        <w:rPr>
          <w:rFonts w:eastAsia="Calibri"/>
          <w:b/>
          <w:bCs/>
          <w:iCs/>
          <w:sz w:val="28"/>
          <w:szCs w:val="28"/>
          <w:lang w:eastAsia="en-US"/>
        </w:rPr>
        <w:t>Wtórek- przebudowa drogi ul. Zielona</w:t>
      </w:r>
      <w:r w:rsidR="009C0784">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1A908EF"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2021r.,  poz. 1129</w:t>
      </w:r>
      <w:r w:rsidR="00B81D08" w:rsidRPr="00914B5F">
        <w:t xml:space="preserve"> ze zm.)</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5EF6AD7C" w14:textId="31B2D152" w:rsidR="001B365B" w:rsidRPr="001F2160" w:rsidRDefault="00080DD3" w:rsidP="001B365B">
      <w:pPr>
        <w:ind w:left="5940"/>
        <w:rPr>
          <w:color w:val="000000" w:themeColor="text1"/>
        </w:rPr>
      </w:pPr>
      <w:r w:rsidRPr="001F2160">
        <w:rPr>
          <w:color w:val="000000" w:themeColor="text1"/>
        </w:rPr>
        <w:t>2022-</w:t>
      </w:r>
      <w:r w:rsidR="001F73EB">
        <w:rPr>
          <w:color w:val="000000" w:themeColor="text1"/>
        </w:rPr>
        <w:t>05-06</w:t>
      </w:r>
    </w:p>
    <w:p w14:paraId="386A6509" w14:textId="77777777" w:rsidR="001B365B" w:rsidRPr="00914B5F" w:rsidRDefault="001B365B" w:rsidP="001B365B">
      <w:pPr>
        <w:ind w:left="5940"/>
      </w:pPr>
    </w:p>
    <w:p w14:paraId="64B2CED4" w14:textId="2C19D1C5" w:rsidR="001B365B" w:rsidRPr="00914B5F" w:rsidRDefault="00B81D08" w:rsidP="001B365B">
      <w:pPr>
        <w:ind w:left="5940"/>
      </w:pPr>
      <w:r w:rsidRPr="00914B5F">
        <w:t xml:space="preserve">Piotr  </w:t>
      </w:r>
      <w:proofErr w:type="spellStart"/>
      <w:r w:rsidRPr="00914B5F">
        <w:t>Kuroszczyk</w:t>
      </w:r>
      <w:proofErr w:type="spellEnd"/>
    </w:p>
    <w:p w14:paraId="7591418A" w14:textId="2C3CB625" w:rsidR="006C34E1" w:rsidRPr="00914B5F" w:rsidRDefault="006C34E1" w:rsidP="001B365B">
      <w:pPr>
        <w:ind w:left="5940"/>
      </w:pPr>
      <w:r w:rsidRPr="00914B5F">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3D104D">
        <w:rPr>
          <w:bCs/>
          <w:iCs/>
          <w:color w:val="000000"/>
          <w:lang w:val="x-none" w:eastAsia="x-none"/>
        </w:rPr>
      </w:r>
      <w:r w:rsidR="003D104D">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3D104D">
        <w:rPr>
          <w:bCs/>
          <w:iCs/>
          <w:color w:val="000000"/>
          <w:lang w:val="x-none" w:eastAsia="x-none"/>
        </w:rPr>
      </w:r>
      <w:r w:rsidR="003D104D">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3D104D">
        <w:rPr>
          <w:bCs/>
          <w:iCs/>
          <w:color w:val="000000"/>
          <w:lang w:val="x-none" w:eastAsia="x-none"/>
        </w:rPr>
      </w:r>
      <w:r w:rsidR="003D104D">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3D104D">
        <w:rPr>
          <w:bCs/>
          <w:iCs/>
          <w:color w:val="000000"/>
          <w:lang w:val="x-none" w:eastAsia="x-none"/>
        </w:rPr>
      </w:r>
      <w:r w:rsidR="003D104D">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42E917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2BF8748E" w:rsidR="001B365B" w:rsidRPr="00C4002D" w:rsidRDefault="001B365B" w:rsidP="00841AD2">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 xml:space="preserve">Przedmiotem zamówienia jest </w:t>
      </w:r>
      <w:r w:rsidR="001F73EB" w:rsidRPr="001F73EB">
        <w:rPr>
          <w:b/>
          <w:bCs/>
          <w:iCs/>
          <w:color w:val="000000" w:themeColor="text1"/>
          <w:lang w:eastAsia="x-none"/>
        </w:rPr>
        <w:t>„Wtórek- przebudowa drogi ul. Zielona,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5203DA" w:rsidRDefault="00B81D08" w:rsidP="005202E1">
            <w:pPr>
              <w:spacing w:before="80" w:after="120"/>
              <w:rPr>
                <w:b/>
                <w:color w:val="000000" w:themeColor="text1"/>
              </w:rPr>
            </w:pPr>
            <w:r w:rsidRPr="005203DA">
              <w:rPr>
                <w:b/>
                <w:color w:val="000000" w:themeColor="text1"/>
              </w:rPr>
              <w:lastRenderedPageBreak/>
              <w:t xml:space="preserve">Wspólny Słownik Zamówień: </w:t>
            </w:r>
          </w:p>
          <w:p w14:paraId="0BEFC346" w14:textId="1E70FC54" w:rsidR="00492D2D" w:rsidRPr="005203DA" w:rsidRDefault="00492D2D" w:rsidP="00492D2D">
            <w:pPr>
              <w:spacing w:before="80" w:after="60"/>
              <w:rPr>
                <w:color w:val="000000" w:themeColor="text1"/>
              </w:rPr>
            </w:pPr>
            <w:r w:rsidRPr="005203DA">
              <w:rPr>
                <w:color w:val="000000" w:themeColor="text1"/>
              </w:rPr>
              <w:t>452332</w:t>
            </w:r>
            <w:r w:rsidR="005203DA" w:rsidRPr="005203DA">
              <w:rPr>
                <w:color w:val="000000" w:themeColor="text1"/>
              </w:rPr>
              <w:t>20</w:t>
            </w:r>
            <w:r w:rsidRPr="005203DA">
              <w:rPr>
                <w:color w:val="000000" w:themeColor="text1"/>
              </w:rPr>
              <w:t>-</w:t>
            </w:r>
            <w:r w:rsidR="005203DA" w:rsidRPr="005203DA">
              <w:rPr>
                <w:color w:val="000000" w:themeColor="text1"/>
              </w:rPr>
              <w:t xml:space="preserve">7 </w:t>
            </w:r>
            <w:r w:rsidRPr="005203DA">
              <w:rPr>
                <w:color w:val="000000" w:themeColor="text1"/>
              </w:rPr>
              <w:t xml:space="preserve">Roboty w zakresie nawierzchni </w:t>
            </w:r>
            <w:r w:rsidR="005203DA" w:rsidRPr="005203DA">
              <w:rPr>
                <w:color w:val="000000" w:themeColor="text1"/>
              </w:rPr>
              <w:t>dróg</w:t>
            </w:r>
          </w:p>
          <w:p w14:paraId="5862AC41" w14:textId="59A54D93" w:rsidR="00492D2D" w:rsidRPr="005203DA" w:rsidRDefault="00492D2D" w:rsidP="00492D2D">
            <w:pPr>
              <w:spacing w:before="80" w:after="60"/>
              <w:rPr>
                <w:color w:val="000000" w:themeColor="text1"/>
              </w:rPr>
            </w:pPr>
          </w:p>
          <w:p w14:paraId="2AE4B62E" w14:textId="74AE28DD" w:rsidR="00B81D08" w:rsidRPr="005203DA" w:rsidRDefault="00B81D08" w:rsidP="00492D2D">
            <w:pPr>
              <w:spacing w:before="80" w:after="60"/>
              <w:rPr>
                <w:b/>
                <w:bCs/>
                <w:color w:val="000000" w:themeColor="text1"/>
                <w:u w:val="single"/>
              </w:rPr>
            </w:pPr>
            <w:r w:rsidRPr="005203DA">
              <w:rPr>
                <w:b/>
                <w:bCs/>
                <w:color w:val="000000" w:themeColor="text1"/>
                <w:u w:val="single"/>
              </w:rPr>
              <w:t>Szczegółowy opis przedmiotu zamówienia:</w:t>
            </w:r>
          </w:p>
          <w:p w14:paraId="4178D821" w14:textId="0A0EEC13" w:rsidR="00273BF7" w:rsidRPr="005203DA" w:rsidRDefault="00273BF7" w:rsidP="00273BF7">
            <w:pPr>
              <w:spacing w:after="200" w:line="276" w:lineRule="auto"/>
              <w:rPr>
                <w:rFonts w:eastAsia="Calibri"/>
                <w:b/>
                <w:color w:val="000000" w:themeColor="text1"/>
                <w:lang w:eastAsia="en-US"/>
              </w:rPr>
            </w:pPr>
            <w:r w:rsidRPr="005203DA">
              <w:rPr>
                <w:rFonts w:eastAsia="Calibri"/>
                <w:b/>
                <w:color w:val="000000" w:themeColor="text1"/>
                <w:lang w:eastAsia="en-US"/>
              </w:rPr>
              <w:t>„Wtórek- przebudowa drogi ul. Zielona, Gmina Ostrów Wielkopolski, woj. wielkopolskie”</w:t>
            </w:r>
          </w:p>
          <w:p w14:paraId="0F88037B" w14:textId="22F8E513" w:rsidR="00273BF7" w:rsidRPr="005203DA" w:rsidRDefault="00273BF7" w:rsidP="00273BF7">
            <w:pPr>
              <w:spacing w:after="200" w:line="276" w:lineRule="auto"/>
              <w:rPr>
                <w:rFonts w:eastAsia="Calibri"/>
                <w:b/>
                <w:color w:val="000000" w:themeColor="text1"/>
                <w:lang w:eastAsia="en-US"/>
              </w:rPr>
            </w:pPr>
            <w:r w:rsidRPr="005203DA">
              <w:rPr>
                <w:rFonts w:eastAsia="Calibri"/>
                <w:b/>
                <w:color w:val="000000" w:themeColor="text1"/>
                <w:lang w:eastAsia="en-US"/>
              </w:rPr>
              <w:t xml:space="preserve">Długość odcinka: 300,60 </w:t>
            </w:r>
            <w:proofErr w:type="spellStart"/>
            <w:r w:rsidRPr="005203DA">
              <w:rPr>
                <w:rFonts w:eastAsia="Calibri"/>
                <w:b/>
                <w:color w:val="000000" w:themeColor="text1"/>
                <w:lang w:eastAsia="en-US"/>
              </w:rPr>
              <w:t>mb</w:t>
            </w:r>
            <w:proofErr w:type="spellEnd"/>
            <w:r w:rsidRPr="005203DA">
              <w:rPr>
                <w:rFonts w:eastAsia="Calibri"/>
                <w:b/>
                <w:color w:val="000000" w:themeColor="text1"/>
                <w:lang w:eastAsia="en-US"/>
              </w:rPr>
              <w:t>.</w:t>
            </w:r>
          </w:p>
          <w:p w14:paraId="6FFA3BEE" w14:textId="77777777" w:rsidR="00273BF7" w:rsidRPr="005203DA" w:rsidRDefault="00273BF7" w:rsidP="00273BF7">
            <w:pPr>
              <w:spacing w:line="276" w:lineRule="auto"/>
              <w:rPr>
                <w:rFonts w:eastAsia="Calibri"/>
                <w:b/>
                <w:color w:val="000000" w:themeColor="text1"/>
                <w:lang w:eastAsia="en-US"/>
              </w:rPr>
            </w:pPr>
            <w:r w:rsidRPr="005203DA">
              <w:rPr>
                <w:rFonts w:eastAsia="Calibri"/>
                <w:b/>
                <w:color w:val="000000" w:themeColor="text1"/>
                <w:lang w:eastAsia="en-US"/>
              </w:rPr>
              <w:t>Zakres prac:</w:t>
            </w:r>
          </w:p>
          <w:p w14:paraId="6DDA06C7" w14:textId="77777777" w:rsidR="00273BF7" w:rsidRPr="00E02A74" w:rsidRDefault="00273BF7" w:rsidP="00273BF7">
            <w:pPr>
              <w:spacing w:line="276" w:lineRule="auto"/>
              <w:rPr>
                <w:rFonts w:eastAsia="Calibri"/>
                <w:bCs/>
                <w:color w:val="000000" w:themeColor="text1"/>
                <w:lang w:eastAsia="en-US"/>
              </w:rPr>
            </w:pPr>
            <w:r w:rsidRPr="00E02A74">
              <w:rPr>
                <w:rFonts w:eastAsia="Calibri"/>
                <w:bCs/>
                <w:color w:val="000000" w:themeColor="text1"/>
                <w:lang w:eastAsia="en-US"/>
              </w:rPr>
              <w:t>- Roboty przygotowawcze i rozbiórkowe,</w:t>
            </w:r>
          </w:p>
          <w:p w14:paraId="60430118" w14:textId="77777777" w:rsidR="00273BF7" w:rsidRPr="00E02A74" w:rsidRDefault="00273BF7" w:rsidP="00273BF7">
            <w:pPr>
              <w:spacing w:line="276" w:lineRule="auto"/>
              <w:rPr>
                <w:rFonts w:eastAsia="Calibri"/>
                <w:bCs/>
                <w:color w:val="000000" w:themeColor="text1"/>
                <w:lang w:eastAsia="en-US"/>
              </w:rPr>
            </w:pPr>
            <w:r w:rsidRPr="00E02A74">
              <w:rPr>
                <w:rFonts w:eastAsia="Calibri"/>
                <w:bCs/>
                <w:color w:val="000000" w:themeColor="text1"/>
                <w:lang w:eastAsia="en-US"/>
              </w:rPr>
              <w:t>- Roboty ziemne,</w:t>
            </w:r>
          </w:p>
          <w:p w14:paraId="058DD8DA" w14:textId="77777777" w:rsidR="00273BF7" w:rsidRPr="00E02A74" w:rsidRDefault="00273BF7" w:rsidP="00273BF7">
            <w:pPr>
              <w:spacing w:line="276" w:lineRule="auto"/>
              <w:rPr>
                <w:rFonts w:eastAsia="Calibri"/>
                <w:bCs/>
                <w:color w:val="000000" w:themeColor="text1"/>
                <w:lang w:eastAsia="en-US"/>
              </w:rPr>
            </w:pPr>
            <w:r w:rsidRPr="00E02A74">
              <w:rPr>
                <w:rFonts w:eastAsia="Calibri"/>
                <w:bCs/>
                <w:color w:val="000000" w:themeColor="text1"/>
                <w:lang w:eastAsia="en-US"/>
              </w:rPr>
              <w:t>- Jezdnia bitumiczna,</w:t>
            </w:r>
          </w:p>
          <w:p w14:paraId="2DC4E296" w14:textId="77777777" w:rsidR="00273BF7" w:rsidRPr="00E02A74" w:rsidRDefault="00273BF7" w:rsidP="00273BF7">
            <w:pPr>
              <w:spacing w:line="276" w:lineRule="auto"/>
              <w:rPr>
                <w:rFonts w:eastAsia="Calibri"/>
                <w:bCs/>
                <w:color w:val="000000" w:themeColor="text1"/>
                <w:lang w:eastAsia="en-US"/>
              </w:rPr>
            </w:pPr>
            <w:r w:rsidRPr="00E02A74">
              <w:rPr>
                <w:rFonts w:eastAsia="Calibri"/>
                <w:bCs/>
                <w:color w:val="000000" w:themeColor="text1"/>
                <w:lang w:eastAsia="en-US"/>
              </w:rPr>
              <w:t>- Oznakowanie pionowe,</w:t>
            </w:r>
          </w:p>
          <w:p w14:paraId="75356197" w14:textId="77777777" w:rsidR="00273BF7" w:rsidRPr="00E02A74" w:rsidRDefault="00273BF7" w:rsidP="00273BF7">
            <w:pPr>
              <w:spacing w:line="276" w:lineRule="auto"/>
              <w:rPr>
                <w:rFonts w:eastAsia="Calibri"/>
                <w:bCs/>
                <w:color w:val="000000" w:themeColor="text1"/>
                <w:lang w:eastAsia="en-US"/>
              </w:rPr>
            </w:pPr>
            <w:r w:rsidRPr="00E02A74">
              <w:rPr>
                <w:rFonts w:eastAsia="Calibri"/>
                <w:bCs/>
                <w:color w:val="000000" w:themeColor="text1"/>
                <w:lang w:eastAsia="en-US"/>
              </w:rPr>
              <w:t>- Roboty wykończeniowe,</w:t>
            </w:r>
          </w:p>
          <w:p w14:paraId="1F4E8B9A" w14:textId="77777777" w:rsidR="00273BF7" w:rsidRPr="00E02A74" w:rsidRDefault="00273BF7" w:rsidP="00273BF7">
            <w:pPr>
              <w:jc w:val="both"/>
              <w:rPr>
                <w:rFonts w:eastAsia="Calibri"/>
                <w:bCs/>
                <w:color w:val="000000" w:themeColor="text1"/>
                <w:lang w:eastAsia="en-US"/>
              </w:rPr>
            </w:pPr>
            <w:r w:rsidRPr="00E02A74">
              <w:rPr>
                <w:rFonts w:eastAsia="Calibri"/>
                <w:bCs/>
                <w:color w:val="000000" w:themeColor="text1"/>
                <w:lang w:eastAsia="en-US"/>
              </w:rPr>
              <w:t>- Inwentaryzacja powykonawcza.</w:t>
            </w:r>
          </w:p>
          <w:p w14:paraId="6E80C32B" w14:textId="77777777" w:rsidR="00273BF7" w:rsidRDefault="00273BF7" w:rsidP="00273BF7">
            <w:pPr>
              <w:spacing w:after="120"/>
              <w:jc w:val="both"/>
              <w:rPr>
                <w:rFonts w:eastAsia="Calibri"/>
                <w:b/>
                <w:color w:val="FF0000"/>
                <w:lang w:eastAsia="en-US"/>
              </w:rPr>
            </w:pPr>
          </w:p>
          <w:p w14:paraId="1F0F1D31" w14:textId="70B518AE" w:rsidR="00DF32C3" w:rsidRPr="009B52F0" w:rsidRDefault="00DF32C3" w:rsidP="00273BF7">
            <w:pPr>
              <w:spacing w:after="120"/>
              <w:jc w:val="both"/>
              <w:rPr>
                <w:b/>
                <w:bCs/>
                <w:color w:val="000000" w:themeColor="text1"/>
              </w:rPr>
            </w:pPr>
            <w:r w:rsidRPr="009B52F0">
              <w:rPr>
                <w:b/>
                <w:bCs/>
                <w:color w:val="000000" w:themeColor="text1"/>
              </w:rPr>
              <w:t xml:space="preserve">Szczegółowy zakres i rodzaj prac przewidzianych do wykonania w ramach przedmiotu zamówienia przedstawiony został w: </w:t>
            </w:r>
          </w:p>
          <w:p w14:paraId="43C9B96B" w14:textId="17315C19" w:rsidR="00841AD2" w:rsidRPr="009B52F0" w:rsidRDefault="00DF32C3" w:rsidP="005671D4">
            <w:pPr>
              <w:jc w:val="both"/>
              <w:rPr>
                <w:b/>
                <w:bCs/>
                <w:color w:val="000000" w:themeColor="text1"/>
              </w:rPr>
            </w:pPr>
            <w:bookmarkStart w:id="9" w:name="_Hlk97705638"/>
            <w:r w:rsidRPr="009B52F0">
              <w:rPr>
                <w:b/>
                <w:bCs/>
                <w:color w:val="000000" w:themeColor="text1"/>
              </w:rPr>
              <w:t xml:space="preserve">1) </w:t>
            </w:r>
            <w:r w:rsidR="00841AD2" w:rsidRPr="009B52F0">
              <w:rPr>
                <w:b/>
                <w:bCs/>
                <w:color w:val="000000" w:themeColor="text1"/>
              </w:rPr>
              <w:t xml:space="preserve">projekcie budowlanym </w:t>
            </w:r>
          </w:p>
          <w:p w14:paraId="23901D2C" w14:textId="62BA2A35" w:rsidR="00841AD2" w:rsidRPr="009B52F0" w:rsidRDefault="00841AD2" w:rsidP="005671D4">
            <w:pPr>
              <w:jc w:val="both"/>
              <w:rPr>
                <w:b/>
                <w:bCs/>
                <w:color w:val="000000" w:themeColor="text1"/>
              </w:rPr>
            </w:pPr>
            <w:r w:rsidRPr="009B52F0">
              <w:rPr>
                <w:b/>
                <w:bCs/>
                <w:color w:val="000000" w:themeColor="text1"/>
              </w:rPr>
              <w:t xml:space="preserve">2) </w:t>
            </w:r>
            <w:r w:rsidR="005203DA">
              <w:rPr>
                <w:b/>
                <w:bCs/>
                <w:color w:val="000000" w:themeColor="text1"/>
              </w:rPr>
              <w:t>specyfikacjach technicznych wykonania i odbioru robót budowlanych</w:t>
            </w:r>
          </w:p>
          <w:p w14:paraId="1DF403AB" w14:textId="36D883A5" w:rsidR="00DF32C3" w:rsidRPr="009B52F0" w:rsidRDefault="001F2160" w:rsidP="005671D4">
            <w:pPr>
              <w:jc w:val="both"/>
              <w:rPr>
                <w:b/>
                <w:bCs/>
                <w:color w:val="000000" w:themeColor="text1"/>
              </w:rPr>
            </w:pPr>
            <w:r w:rsidRPr="009B52F0">
              <w:rPr>
                <w:b/>
                <w:bCs/>
                <w:color w:val="000000" w:themeColor="text1"/>
              </w:rPr>
              <w:t>3</w:t>
            </w:r>
            <w:r w:rsidR="00841AD2" w:rsidRPr="009B52F0">
              <w:rPr>
                <w:b/>
                <w:bCs/>
                <w:color w:val="000000" w:themeColor="text1"/>
              </w:rPr>
              <w:t xml:space="preserve">) </w:t>
            </w:r>
            <w:r w:rsidR="00DF32C3" w:rsidRPr="009B52F0">
              <w:rPr>
                <w:b/>
                <w:bCs/>
                <w:color w:val="000000" w:themeColor="text1"/>
              </w:rPr>
              <w:t>kosztorysie ofertowym</w:t>
            </w:r>
            <w:r w:rsidR="00AD4C81" w:rsidRPr="009B52F0">
              <w:rPr>
                <w:b/>
                <w:bCs/>
                <w:color w:val="000000" w:themeColor="text1"/>
              </w:rPr>
              <w:t xml:space="preserve">, przedmiarze </w:t>
            </w:r>
          </w:p>
          <w:bookmarkEnd w:id="9"/>
          <w:p w14:paraId="5BA6F46F" w14:textId="77777777" w:rsidR="00841AD2" w:rsidRPr="00F42072" w:rsidRDefault="00841AD2" w:rsidP="005671D4">
            <w:pPr>
              <w:jc w:val="both"/>
              <w:rPr>
                <w:b/>
                <w:bCs/>
                <w:color w:val="000000" w:themeColor="text1"/>
              </w:rPr>
            </w:pPr>
          </w:p>
          <w:p w14:paraId="353D7623" w14:textId="26A3EB8F" w:rsidR="00DF32C3" w:rsidRPr="00F42072" w:rsidRDefault="00DF32C3" w:rsidP="00DF32C3">
            <w:pPr>
              <w:spacing w:after="120"/>
              <w:jc w:val="both"/>
              <w:rPr>
                <w:color w:val="000000" w:themeColor="text1"/>
              </w:rPr>
            </w:pPr>
            <w:r w:rsidRPr="00F42072">
              <w:rPr>
                <w:color w:val="000000" w:themeColor="text1"/>
              </w:rPr>
              <w:t>Wykonawca odpowiedzialny jest za powstałe w toku własnych prac odpady oraz za właściwy sposób postępowania z nimi, zgodnie z przepisami ustawy z dnia 14 grudnia 2</w:t>
            </w:r>
            <w:r w:rsidR="006C7E9A" w:rsidRPr="00F42072">
              <w:rPr>
                <w:color w:val="000000" w:themeColor="text1"/>
              </w:rPr>
              <w:t>012r. o odpadach  (Dz. U. z 2021 r. poz. 779</w:t>
            </w:r>
            <w:r w:rsidRPr="00F42072">
              <w:rPr>
                <w:color w:val="000000" w:themeColor="text1"/>
              </w:rPr>
              <w:t xml:space="preserve"> ze zm.) oraz ustawy z dnia 13 września 1996r. o utrzymaniu czystości i p</w:t>
            </w:r>
            <w:r w:rsidR="006C7E9A" w:rsidRPr="00F42072">
              <w:rPr>
                <w:color w:val="000000" w:themeColor="text1"/>
              </w:rPr>
              <w:t>orządku w gminach (Dz. U. z 2021r. poz. 888</w:t>
            </w:r>
            <w:r w:rsidRPr="00F42072">
              <w:rPr>
                <w:color w:val="000000" w:themeColor="text1"/>
              </w:rPr>
              <w:t>). Wywóz odpadów budowlanych odbywa się na koszt Wykonawcy.</w:t>
            </w:r>
          </w:p>
          <w:p w14:paraId="11E9ED57" w14:textId="77777777" w:rsidR="00DF32C3" w:rsidRPr="00F42072" w:rsidRDefault="00DF32C3" w:rsidP="00DF32C3">
            <w:pPr>
              <w:spacing w:after="120"/>
              <w:jc w:val="both"/>
              <w:rPr>
                <w:color w:val="000000" w:themeColor="text1"/>
              </w:rPr>
            </w:pPr>
          </w:p>
          <w:p w14:paraId="5642E72A" w14:textId="77777777" w:rsidR="00DF32C3" w:rsidRPr="00F42072" w:rsidRDefault="00DF32C3" w:rsidP="00DF32C3">
            <w:pPr>
              <w:spacing w:after="120"/>
              <w:jc w:val="both"/>
              <w:rPr>
                <w:color w:val="000000" w:themeColor="text1"/>
              </w:rPr>
            </w:pPr>
            <w:r w:rsidRPr="00F42072">
              <w:rPr>
                <w:color w:val="000000" w:themeColor="text1"/>
              </w:rPr>
              <w:t>UWAGA</w:t>
            </w:r>
          </w:p>
          <w:p w14:paraId="41BD736F" w14:textId="3D68611F" w:rsidR="00DF32C3" w:rsidRPr="00F42072" w:rsidRDefault="00DF32C3" w:rsidP="00CF4CC2">
            <w:pPr>
              <w:jc w:val="both"/>
              <w:rPr>
                <w:color w:val="000000" w:themeColor="text1"/>
              </w:rPr>
            </w:pPr>
            <w:r w:rsidRPr="00F42072">
              <w:rPr>
                <w:color w:val="000000" w:themeColor="text1"/>
              </w:rPr>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F42072" w:rsidRDefault="00DF32C3" w:rsidP="00CF4CC2">
            <w:pPr>
              <w:jc w:val="both"/>
              <w:rPr>
                <w:color w:val="000000" w:themeColor="text1"/>
              </w:rPr>
            </w:pPr>
            <w:r w:rsidRPr="00F42072">
              <w:rPr>
                <w:color w:val="000000" w:themeColor="text1"/>
              </w:rPr>
              <w:lastRenderedPageBreak/>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BE2E59" w:rsidRDefault="00DF32C3" w:rsidP="00CF4CC2">
            <w:pPr>
              <w:rPr>
                <w:b/>
                <w:bCs/>
                <w:color w:val="FF0000"/>
              </w:rPr>
            </w:pPr>
            <w:r w:rsidRPr="00F42072">
              <w:rPr>
                <w:b/>
                <w:bCs/>
                <w:color w:val="000000" w:themeColor="text1"/>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w:t>
      </w:r>
      <w:r w:rsidRPr="006C34E1">
        <w:rPr>
          <w:bCs/>
          <w:iCs/>
          <w:lang w:val="x-none" w:eastAsia="x-none"/>
        </w:rPr>
        <w:lastRenderedPageBreak/>
        <w:t>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4EFEB2AC"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385BE7">
        <w:rPr>
          <w:b/>
          <w:iCs/>
          <w:color w:val="000000" w:themeColor="text1"/>
          <w:lang w:eastAsia="x-none"/>
        </w:rPr>
        <w:t>Wtórek, ul Zielona</w:t>
      </w:r>
      <w:r w:rsidR="001F2160">
        <w:rPr>
          <w:b/>
          <w:iCs/>
          <w:color w:val="000000" w:themeColor="text1"/>
          <w:lang w:eastAsia="x-none"/>
        </w:rPr>
        <w:t>,</w:t>
      </w:r>
      <w:r w:rsidR="006C34E1" w:rsidRPr="00693DEF">
        <w:rPr>
          <w:b/>
          <w:iCs/>
          <w:color w:val="000000" w:themeColor="text1"/>
          <w:lang w:eastAsia="x-none"/>
        </w:rPr>
        <w:t xml:space="preserve">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2277EE25" w:rsidR="001B365B" w:rsidRPr="00F42072" w:rsidRDefault="001B365B" w:rsidP="00BE2E59">
      <w:pPr>
        <w:tabs>
          <w:tab w:val="left" w:pos="708"/>
        </w:tabs>
        <w:spacing w:before="120"/>
        <w:ind w:left="426"/>
        <w:jc w:val="both"/>
        <w:outlineLvl w:val="1"/>
        <w:rPr>
          <w:b/>
          <w:bCs/>
          <w:iCs/>
          <w:color w:val="000000" w:themeColor="text1"/>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1F2160">
        <w:rPr>
          <w:bCs/>
          <w:iCs/>
          <w:color w:val="000000" w:themeColor="text1"/>
          <w:lang w:val="x-none" w:eastAsia="x-none"/>
        </w:rPr>
        <w:t xml:space="preserve">: </w:t>
      </w:r>
      <w:r w:rsidR="00F34EE8">
        <w:rPr>
          <w:b/>
          <w:bCs/>
          <w:iCs/>
          <w:color w:val="000000" w:themeColor="text1"/>
          <w:lang w:eastAsia="x-none"/>
        </w:rPr>
        <w:t>3</w:t>
      </w:r>
      <w:r w:rsidR="00876540" w:rsidRPr="001F2160">
        <w:rPr>
          <w:b/>
          <w:bCs/>
          <w:iCs/>
          <w:color w:val="000000" w:themeColor="text1"/>
          <w:lang w:val="x-none" w:eastAsia="x-none"/>
        </w:rPr>
        <w:t xml:space="preserve"> mies</w:t>
      </w:r>
      <w:r w:rsidR="00876540" w:rsidRPr="001F2160">
        <w:rPr>
          <w:b/>
          <w:bCs/>
          <w:iCs/>
          <w:color w:val="000000" w:themeColor="text1"/>
          <w:lang w:eastAsia="x-none"/>
        </w:rPr>
        <w:t>i</w:t>
      </w:r>
      <w:r w:rsidR="00921D4B" w:rsidRPr="001F2160">
        <w:rPr>
          <w:b/>
          <w:bCs/>
          <w:iCs/>
          <w:color w:val="000000" w:themeColor="text1"/>
          <w:lang w:eastAsia="x-none"/>
        </w:rPr>
        <w:t>ęcy</w:t>
      </w:r>
      <w:r w:rsidR="00AA1179" w:rsidRPr="001F2160">
        <w:rPr>
          <w:b/>
          <w:bCs/>
          <w:iCs/>
          <w:color w:val="000000" w:themeColor="text1"/>
          <w:lang w:val="x-none" w:eastAsia="x-none"/>
        </w:rPr>
        <w:t xml:space="preserve"> od podpisania umowy</w:t>
      </w:r>
      <w:r w:rsidR="00876540" w:rsidRPr="001F2160">
        <w:rPr>
          <w:b/>
          <w:bCs/>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w:t>
            </w:r>
            <w:r w:rsidR="00B81D08" w:rsidRPr="0094256E">
              <w:rPr>
                <w:b/>
                <w:bCs/>
              </w:rPr>
              <w:lastRenderedPageBreak/>
              <w:t>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722D96"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2FA74F54" w:rsidR="00B81D08" w:rsidRPr="00722D96" w:rsidRDefault="00B81D08" w:rsidP="00133152">
            <w:pPr>
              <w:jc w:val="both"/>
              <w:rPr>
                <w:b/>
                <w:bCs/>
                <w:color w:val="000000" w:themeColor="text1"/>
              </w:rPr>
            </w:pPr>
            <w:r w:rsidRPr="00722D96">
              <w:rPr>
                <w:b/>
                <w:bCs/>
                <w:color w:val="000000" w:themeColor="text1"/>
              </w:rPr>
              <w:t>- jedno z</w:t>
            </w:r>
            <w:r w:rsidR="00F643FC" w:rsidRPr="00722D96">
              <w:rPr>
                <w:b/>
                <w:bCs/>
                <w:color w:val="000000" w:themeColor="text1"/>
              </w:rPr>
              <w:t xml:space="preserve">amówienie o wartości minimum </w:t>
            </w:r>
            <w:r w:rsidR="00385BE7">
              <w:rPr>
                <w:b/>
                <w:bCs/>
                <w:color w:val="000000" w:themeColor="text1"/>
              </w:rPr>
              <w:t>150</w:t>
            </w:r>
            <w:r w:rsidRPr="00722D96">
              <w:rPr>
                <w:b/>
                <w:bCs/>
                <w:color w:val="000000" w:themeColor="text1"/>
              </w:rPr>
              <w:t xml:space="preserve">.000,00 zł brutto (wraz z należnym podatkiem VAT) </w:t>
            </w:r>
            <w:r w:rsidR="00385BE7" w:rsidRPr="00385BE7">
              <w:rPr>
                <w:b/>
                <w:bCs/>
                <w:color w:val="000000" w:themeColor="text1"/>
              </w:rPr>
              <w:t>polegające na wykonaniu robót budowlanych obejmujących wykonanie nawierzchni bitumicznej.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048FAACB" w14:textId="77777777" w:rsidR="003C48AA" w:rsidRDefault="003C48AA" w:rsidP="00004A7A">
            <w:pPr>
              <w:jc w:val="both"/>
            </w:pP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w:t>
            </w:r>
            <w:r w:rsidRPr="00B81D08">
              <w:lastRenderedPageBreak/>
              <w:t xml:space="preserve">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573F5F19" w14:textId="6B20ACA4" w:rsidR="003C48AA" w:rsidRDefault="003C48AA" w:rsidP="003C48AA">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47A9E14" w14:textId="77777777" w:rsidR="003C48AA" w:rsidRPr="00B81D08" w:rsidRDefault="003C48AA" w:rsidP="00004A7A">
            <w:pPr>
              <w:jc w:val="both"/>
            </w:pPr>
          </w:p>
          <w:p w14:paraId="71B75031" w14:textId="04F3D61C" w:rsidR="00B81D08" w:rsidRPr="001B365B" w:rsidRDefault="00B81D08"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1D70F009" w14:textId="29F04800" w:rsidR="00EE4058" w:rsidRPr="00EE4058" w:rsidRDefault="00EE4058" w:rsidP="00EE4058">
      <w:pPr>
        <w:numPr>
          <w:ilvl w:val="1"/>
          <w:numId w:val="1"/>
        </w:numPr>
        <w:spacing w:before="120"/>
        <w:jc w:val="both"/>
        <w:outlineLvl w:val="1"/>
        <w:rPr>
          <w:bCs/>
          <w:iCs/>
          <w:color w:val="000000"/>
          <w:lang w:val="x-none" w:eastAsia="x-none"/>
        </w:rPr>
      </w:pPr>
      <w:r w:rsidRPr="00EE4058">
        <w:rPr>
          <w:bCs/>
          <w:iCs/>
          <w:color w:val="000000"/>
          <w:lang w:val="x-none" w:eastAsia="x-none"/>
        </w:rPr>
        <w:t>Zamawiający wykluczy z postępowania o udzielenie zamówienia Wykonawcę</w:t>
      </w:r>
      <w:r w:rsidRPr="00EE4058">
        <w:rPr>
          <w:bCs/>
          <w:iCs/>
          <w:color w:val="000000"/>
          <w:lang w:eastAsia="x-none"/>
        </w:rPr>
        <w:t xml:space="preserve">, wobec którego zachodzą podstawy wykluczenia, o których mowa w art. </w:t>
      </w:r>
      <w:r w:rsidRPr="00EE4058">
        <w:rPr>
          <w:b/>
          <w:bCs/>
          <w:iCs/>
          <w:color w:val="000000"/>
          <w:lang w:val="x-none" w:eastAsia="x-none"/>
        </w:rPr>
        <w:t>1</w:t>
      </w:r>
      <w:r w:rsidRPr="00EE4058">
        <w:rPr>
          <w:b/>
          <w:bCs/>
          <w:iCs/>
          <w:color w:val="000000"/>
          <w:lang w:eastAsia="x-none"/>
        </w:rPr>
        <w:t>08</w:t>
      </w:r>
      <w:r w:rsidRPr="00EE4058">
        <w:rPr>
          <w:b/>
          <w:bCs/>
          <w:iCs/>
          <w:color w:val="000000"/>
          <w:lang w:val="x-none" w:eastAsia="x-none"/>
        </w:rPr>
        <w:t xml:space="preserve"> </w:t>
      </w:r>
      <w:r w:rsidRPr="00EE4058">
        <w:rPr>
          <w:b/>
          <w:bCs/>
          <w:iCs/>
          <w:color w:val="000000"/>
          <w:lang w:eastAsia="x-none"/>
        </w:rPr>
        <w:t xml:space="preserve">ustawy </w:t>
      </w:r>
      <w:proofErr w:type="spellStart"/>
      <w:r w:rsidRPr="00EE4058">
        <w:rPr>
          <w:b/>
          <w:bCs/>
          <w:iCs/>
          <w:color w:val="000000"/>
          <w:lang w:eastAsia="x-none"/>
        </w:rPr>
        <w:t>Pzp</w:t>
      </w:r>
      <w:proofErr w:type="spellEnd"/>
      <w:r w:rsidRPr="00EE4058">
        <w:rPr>
          <w:b/>
          <w:bCs/>
          <w:iCs/>
          <w:color w:val="000000"/>
          <w:lang w:eastAsia="x-none"/>
        </w:rPr>
        <w:t>.</w:t>
      </w:r>
    </w:p>
    <w:p w14:paraId="10B54D02" w14:textId="77777777" w:rsidR="00EE4058" w:rsidRPr="003926D5" w:rsidRDefault="00EE4058" w:rsidP="00EE4058">
      <w:pPr>
        <w:tabs>
          <w:tab w:val="left" w:pos="708"/>
        </w:tabs>
        <w:ind w:left="680"/>
        <w:jc w:val="both"/>
        <w:outlineLvl w:val="1"/>
        <w:rPr>
          <w:b/>
          <w:bCs/>
          <w:iCs/>
          <w:color w:val="000000"/>
          <w:sz w:val="16"/>
          <w:szCs w:val="16"/>
          <w:lang w:val="x-none" w:eastAsia="x-none"/>
        </w:rPr>
      </w:pPr>
    </w:p>
    <w:p w14:paraId="165800FF" w14:textId="77777777" w:rsidR="00EE4058" w:rsidRPr="004B707F" w:rsidRDefault="00EE4058" w:rsidP="00EE4058">
      <w:pPr>
        <w:numPr>
          <w:ilvl w:val="1"/>
          <w:numId w:val="1"/>
        </w:numPr>
        <w:spacing w:before="120"/>
        <w:jc w:val="both"/>
        <w:outlineLvl w:val="1"/>
        <w:rPr>
          <w:b/>
          <w:iCs/>
          <w:color w:val="000000"/>
          <w:lang w:val="x-none" w:eastAsia="x-none"/>
        </w:rPr>
      </w:pPr>
      <w:r w:rsidRPr="004B707F">
        <w:rPr>
          <w:b/>
          <w:iCs/>
          <w:color w:val="000000"/>
          <w:lang w:val="x-none" w:eastAsia="x-none"/>
        </w:rPr>
        <w:lastRenderedPageBreak/>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492B041D" w14:textId="77777777" w:rsidR="00EE4058" w:rsidRPr="001B365B" w:rsidRDefault="00EE4058" w:rsidP="00EE4058">
      <w:pPr>
        <w:tabs>
          <w:tab w:val="left" w:pos="708"/>
        </w:tabs>
        <w:ind w:left="680"/>
        <w:jc w:val="both"/>
        <w:outlineLvl w:val="1"/>
        <w:rPr>
          <w:bCs/>
          <w:iCs/>
          <w:color w:val="000000"/>
          <w:lang w:val="x-none" w:eastAsia="x-none"/>
        </w:rPr>
      </w:pPr>
    </w:p>
    <w:p w14:paraId="12499F56" w14:textId="77777777" w:rsidR="00EE4058" w:rsidRDefault="00EE4058" w:rsidP="00EE4058">
      <w:pPr>
        <w:tabs>
          <w:tab w:val="left" w:pos="708"/>
        </w:tabs>
        <w:ind w:left="567"/>
        <w:jc w:val="both"/>
        <w:outlineLvl w:val="1"/>
        <w:rPr>
          <w:b/>
          <w:iCs/>
          <w:color w:val="000000"/>
          <w:lang w:eastAsia="x-none"/>
        </w:rPr>
      </w:pPr>
      <w:r w:rsidRPr="003214F5">
        <w:rPr>
          <w:iCs/>
          <w:color w:val="000000"/>
          <w:lang w:eastAsia="x-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iCs/>
          <w:color w:val="000000"/>
          <w:lang w:eastAsia="x-none"/>
        </w:rPr>
        <w:t xml:space="preserve">miejsca wszczęcia tej procedury - </w:t>
      </w:r>
      <w:r w:rsidRPr="00187FA8">
        <w:rPr>
          <w:b/>
          <w:iCs/>
          <w:color w:val="000000"/>
          <w:lang w:eastAsia="x-none"/>
        </w:rPr>
        <w:t>art. 109 ust. 1 pkt 4</w:t>
      </w:r>
    </w:p>
    <w:p w14:paraId="15422C88" w14:textId="77777777" w:rsidR="00EE4058" w:rsidRPr="009E7131" w:rsidRDefault="00EE4058" w:rsidP="00EE4058">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Pr>
          <w:b/>
          <w:bCs/>
          <w:iCs/>
          <w:color w:val="000000"/>
          <w:lang w:eastAsia="x-none"/>
        </w:rPr>
        <w:t xml:space="preserve"> – </w:t>
      </w:r>
      <w:r w:rsidRPr="003C31A9">
        <w:rPr>
          <w:b/>
          <w:bCs/>
          <w:i/>
          <w:iCs/>
          <w:color w:val="000000"/>
          <w:u w:val="single"/>
          <w:lang w:eastAsia="x-none"/>
        </w:rPr>
        <w:t>przesłanka obligatoryjna</w:t>
      </w:r>
      <w:r>
        <w:rPr>
          <w:b/>
          <w:bCs/>
          <w:i/>
          <w:iCs/>
          <w:color w:val="000000"/>
          <w:u w:val="single"/>
          <w:lang w:eastAsia="x-none"/>
        </w:rPr>
        <w:t>,</w:t>
      </w:r>
      <w:r w:rsidRPr="009E7131">
        <w:rPr>
          <w:b/>
          <w:bCs/>
          <w:iCs/>
          <w:color w:val="000000"/>
          <w:lang w:val="x-none" w:eastAsia="x-none"/>
        </w:rPr>
        <w:t xml:space="preserve"> tj.:</w:t>
      </w:r>
    </w:p>
    <w:p w14:paraId="26B3086B"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3D56AE63"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416CEAAD"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59A4E915" w14:textId="24E69F69" w:rsidR="00B81D08" w:rsidRPr="00EE4058" w:rsidRDefault="00EE4058" w:rsidP="00EE4058">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74E3E9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lastRenderedPageBreak/>
              <w:t>1A</w:t>
            </w:r>
          </w:p>
        </w:tc>
        <w:tc>
          <w:tcPr>
            <w:tcW w:w="7826" w:type="dxa"/>
            <w:tcBorders>
              <w:top w:val="single" w:sz="4" w:space="0" w:color="auto"/>
              <w:left w:val="single" w:sz="4" w:space="0" w:color="auto"/>
              <w:bottom w:val="single" w:sz="4" w:space="0" w:color="auto"/>
              <w:right w:val="single" w:sz="4" w:space="0" w:color="auto"/>
            </w:tcBorders>
          </w:tcPr>
          <w:p w14:paraId="3D7602C2" w14:textId="1712758B" w:rsidR="000B7041" w:rsidRPr="00B81D08" w:rsidRDefault="000B7041" w:rsidP="000B704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2DE2C35A" w:rsidR="000B7041" w:rsidRPr="001B365B" w:rsidRDefault="000B7041" w:rsidP="000B7041">
            <w:pPr>
              <w:spacing w:before="60" w:after="60"/>
              <w:jc w:val="both"/>
            </w:pPr>
            <w:r>
              <w:rPr>
                <w:b/>
              </w:rPr>
              <w:t>K</w:t>
            </w:r>
            <w:r w:rsidRPr="00B81D08">
              <w:rPr>
                <w:b/>
              </w:rPr>
              <w:t>osztorys ofertowy</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Pr="001B365B" w:rsidRDefault="000B7041" w:rsidP="000B7041">
            <w:pPr>
              <w:spacing w:before="60" w:after="60"/>
              <w:jc w:val="both"/>
            </w:pPr>
            <w:r w:rsidRPr="00B81D08">
              <w:rPr>
                <w:b/>
              </w:rPr>
              <w:t>Zobowiązanie podmiotu udostępniającego zasoby</w:t>
            </w:r>
            <w:r>
              <w:rPr>
                <w:b/>
              </w:rPr>
              <w:t xml:space="preserve">- </w:t>
            </w:r>
            <w:r w:rsidRPr="00DD17F8">
              <w:rPr>
                <w:b/>
                <w:i/>
                <w:iCs/>
              </w:rPr>
              <w:t>w przypadku polegania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B81D08">
              <w:lastRenderedPageBreak/>
              <w:t>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6D9303E9" w:rsidR="005202E1" w:rsidRPr="00881E5A" w:rsidRDefault="005202E1" w:rsidP="004041BA">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rsidR="00E964F7">
              <w:t>,</w:t>
            </w:r>
            <w:r w:rsidR="0087152C" w:rsidRPr="0087152C">
              <w:rPr>
                <w:rFonts w:eastAsia="Calibri"/>
                <w:lang w:eastAsia="en-US"/>
              </w:rPr>
              <w:t xml:space="preserve"> art. 109 ust.1 pkt. 4) ustawy </w:t>
            </w:r>
            <w:proofErr w:type="spellStart"/>
            <w:r w:rsidR="0087152C" w:rsidRPr="0087152C">
              <w:rPr>
                <w:rFonts w:eastAsia="Calibri"/>
                <w:lang w:eastAsia="en-US"/>
              </w:rPr>
              <w:t>Pzp</w:t>
            </w:r>
            <w:proofErr w:type="spellEnd"/>
            <w:r w:rsidR="00AB012F">
              <w:rPr>
                <w:rFonts w:eastAsia="Calibri"/>
                <w:lang w:eastAsia="en-US"/>
              </w:rPr>
              <w:t>.</w:t>
            </w:r>
            <w:r w:rsidR="00E964F7">
              <w:t xml:space="preserve"> </w:t>
            </w:r>
            <w:r w:rsidR="00E964F7" w:rsidRPr="00E964F7">
              <w:rPr>
                <w:rFonts w:eastAsia="Calibri"/>
                <w:lang w:eastAsia="en-US"/>
              </w:rPr>
              <w:t>oraz art. 7 ust.1 ustawy z dnia 13 kwietnia 2022r. o szczególnych rozwiązaniach w zakresie przeciwdziałania wspieraniu agresji na Ukrainę oraz służących ochronie bezpieczeństwa narodowego</w:t>
            </w:r>
            <w:r w:rsidR="004041BA">
              <w:t xml:space="preserve"> -</w:t>
            </w:r>
            <w:r w:rsidR="004041BA" w:rsidRPr="004041BA">
              <w:rPr>
                <w:rFonts w:eastAsia="Calibri"/>
                <w:b/>
                <w:bCs/>
                <w:lang w:eastAsia="en-US"/>
              </w:rPr>
              <w:t xml:space="preserve">załącznik Nr </w:t>
            </w:r>
            <w:r w:rsidR="004041BA">
              <w:rPr>
                <w:rFonts w:eastAsia="Calibri"/>
                <w:b/>
                <w:bCs/>
                <w:lang w:eastAsia="en-US"/>
              </w:rPr>
              <w:t>7</w:t>
            </w:r>
            <w:r w:rsidR="004041BA" w:rsidRPr="004041BA">
              <w:rPr>
                <w:rFonts w:eastAsia="Calibri"/>
                <w:b/>
                <w:bCs/>
                <w:lang w:eastAsia="en-US"/>
              </w:rPr>
              <w:t xml:space="preserve">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rsidRPr="001B365B">
        <w:rPr>
          <w:bCs/>
          <w:iCs/>
          <w:color w:val="000000"/>
          <w:lang w:eastAsia="x-none"/>
        </w:rPr>
        <w:lastRenderedPageBreak/>
        <w:t>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757CD20" w14:textId="77777777" w:rsidR="00E02A74" w:rsidRDefault="00B81D08" w:rsidP="00E02A74">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3BAB030F" w14:textId="563055C8" w:rsidR="00E02A74" w:rsidRPr="000A1FF1" w:rsidRDefault="00E02A74" w:rsidP="00E02A74">
      <w:pPr>
        <w:numPr>
          <w:ilvl w:val="1"/>
          <w:numId w:val="1"/>
        </w:numPr>
        <w:spacing w:before="120"/>
        <w:jc w:val="both"/>
        <w:outlineLvl w:val="1"/>
        <w:rPr>
          <w:b/>
          <w:iCs/>
          <w:color w:val="000000"/>
          <w:lang w:val="x-none" w:eastAsia="x-none"/>
        </w:rPr>
      </w:pPr>
      <w:r w:rsidRPr="000A1FF1">
        <w:rPr>
          <w:b/>
          <w:iCs/>
          <w:color w:val="000000"/>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F4A486" w14:textId="77777777" w:rsidR="00E02A74" w:rsidRDefault="001B365B" w:rsidP="00E02A74">
      <w:pPr>
        <w:numPr>
          <w:ilvl w:val="1"/>
          <w:numId w:val="1"/>
        </w:numPr>
        <w:spacing w:before="120"/>
        <w:jc w:val="both"/>
        <w:outlineLvl w:val="1"/>
        <w:rPr>
          <w:bCs/>
          <w:iCs/>
          <w:color w:val="000000"/>
          <w:lang w:val="x-none" w:eastAsia="x-none"/>
        </w:rPr>
      </w:pPr>
      <w:r w:rsidRPr="00E02A74">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4B75F2E9" w:rsidR="005202E1" w:rsidRPr="00E02A74" w:rsidRDefault="001B365B" w:rsidP="00E02A74">
      <w:pPr>
        <w:numPr>
          <w:ilvl w:val="1"/>
          <w:numId w:val="1"/>
        </w:numPr>
        <w:spacing w:before="120"/>
        <w:jc w:val="both"/>
        <w:outlineLvl w:val="1"/>
        <w:rPr>
          <w:bCs/>
          <w:iCs/>
          <w:color w:val="000000"/>
          <w:lang w:val="x-none" w:eastAsia="x-none"/>
        </w:rPr>
      </w:pPr>
      <w:r w:rsidRPr="00E02A74">
        <w:rPr>
          <w:bCs/>
          <w:iCs/>
          <w:color w:val="000000"/>
          <w:lang w:val="x-none" w:eastAsia="x-none"/>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E02A74">
        <w:rPr>
          <w:rFonts w:ascii="Calibri" w:hAnsi="Calibri"/>
          <w:bCs/>
          <w:iCs/>
          <w:color w:val="000000"/>
          <w:sz w:val="22"/>
          <w:szCs w:val="22"/>
          <w:lang w:eastAsia="x-none"/>
        </w:rPr>
        <w:t xml:space="preserve"> </w:t>
      </w: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AD072E" w:rsidRDefault="005202E1" w:rsidP="00AD072E">
      <w:pPr>
        <w:pStyle w:val="Nagwek2"/>
      </w:pPr>
      <w:r w:rsidRPr="00AD072E">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t>Korzystanie z Platformy przez Wykonawcę jest bezpłatne</w:t>
      </w:r>
      <w:bookmarkEnd w:id="15"/>
      <w:r w:rsidRPr="001B365B">
        <w:rPr>
          <w:bCs/>
          <w:iCs/>
          <w:color w:val="000000"/>
          <w:lang w:val="x-none" w:eastAsia="x-none"/>
        </w:rPr>
        <w:t>.</w:t>
      </w:r>
    </w:p>
    <w:p w14:paraId="12F23FA9" w14:textId="3D8C7440" w:rsidR="001B365B" w:rsidRPr="0020756C" w:rsidRDefault="001B365B" w:rsidP="0020756C">
      <w:pPr>
        <w:numPr>
          <w:ilvl w:val="1"/>
          <w:numId w:val="1"/>
        </w:numPr>
        <w:spacing w:before="120"/>
        <w:jc w:val="both"/>
        <w:outlineLvl w:val="1"/>
        <w:rPr>
          <w:b/>
          <w:iCs/>
          <w:color w:val="000000"/>
          <w:lang w:eastAsia="x-none"/>
        </w:rPr>
      </w:pPr>
      <w:bookmarkStart w:id="16" w:name="_Hlk37863788"/>
      <w:r w:rsidRPr="001B365B">
        <w:rPr>
          <w:bCs/>
          <w:iCs/>
          <w:color w:val="000000"/>
          <w:lang w:val="x-none" w:eastAsia="x-none"/>
        </w:rPr>
        <w:t xml:space="preserve">Na Platformie postępowanie prowadzone jest pod nazwą: </w:t>
      </w:r>
      <w:r w:rsidR="007356AE" w:rsidRPr="007356AE">
        <w:rPr>
          <w:b/>
          <w:bCs/>
          <w:iCs/>
          <w:color w:val="000000"/>
          <w:lang w:eastAsia="x-none"/>
        </w:rPr>
        <w:t>„Wtórek- przebudowa drogi ul. Zielona, Gmina Ostrów Wielkopolski, woj. wielkopolskie”</w:t>
      </w:r>
      <w:r w:rsidR="007356AE">
        <w:rPr>
          <w:b/>
          <w:bCs/>
          <w:iCs/>
          <w:color w:val="000000"/>
          <w:lang w:eastAsia="x-none"/>
        </w:rPr>
        <w:t xml:space="preserve"> </w:t>
      </w:r>
      <w:r w:rsidRPr="0020756C">
        <w:rPr>
          <w:bCs/>
          <w:iCs/>
          <w:color w:val="000000"/>
          <w:lang w:val="x-none" w:eastAsia="x-none"/>
        </w:rPr>
        <w:t xml:space="preserve">znak sprawy: </w:t>
      </w:r>
      <w:bookmarkEnd w:id="16"/>
      <w:r w:rsidR="00B81D08" w:rsidRPr="001F2160">
        <w:rPr>
          <w:b/>
          <w:bCs/>
          <w:iCs/>
          <w:color w:val="000000" w:themeColor="text1"/>
          <w:lang w:val="x-none" w:eastAsia="x-none"/>
        </w:rPr>
        <w:t>IGK-PZ.271.1.</w:t>
      </w:r>
      <w:r w:rsidR="007356AE">
        <w:rPr>
          <w:b/>
          <w:bCs/>
          <w:iCs/>
          <w:color w:val="000000" w:themeColor="text1"/>
          <w:lang w:eastAsia="x-none"/>
        </w:rPr>
        <w:t>9</w:t>
      </w:r>
      <w:r w:rsidR="00B81D08" w:rsidRPr="001F2160">
        <w:rPr>
          <w:b/>
          <w:bCs/>
          <w:iCs/>
          <w:color w:val="000000" w:themeColor="text1"/>
          <w:lang w:val="x-none" w:eastAsia="x-none"/>
        </w:rPr>
        <w:t>.202</w:t>
      </w:r>
      <w:r w:rsidR="005D4038" w:rsidRPr="001F2160">
        <w:rPr>
          <w:b/>
          <w:bCs/>
          <w:iCs/>
          <w:color w:val="000000" w:themeColor="text1"/>
          <w:lang w:eastAsia="x-none"/>
        </w:rPr>
        <w:t>2</w:t>
      </w:r>
      <w:r w:rsidRPr="001F2160">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lastRenderedPageBreak/>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1"/>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t>stały dostęp do sieci Internet</w:t>
      </w:r>
      <w:bookmarkEnd w:id="23"/>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6"/>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7"/>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937156"/>
      <w:r w:rsidRPr="001B365B">
        <w:rPr>
          <w:bCs/>
          <w:iCs/>
          <w:color w:val="000000"/>
          <w:lang w:val="x-none" w:eastAsia="x-none"/>
        </w:rPr>
        <w:t>Zamawiający określa następujące informacje na temat kodowania i czasu odbioru danych</w:t>
      </w:r>
      <w:bookmarkEnd w:id="28"/>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 xml:space="preserve">załączony i przesłany przez Wykonawcę za pomocą Platformy plik oferty wraz z załącznikami, nie jest dostępny dla Zamawiającego i przechowywany jest na </w:t>
      </w:r>
      <w:r w:rsidRPr="001B365B">
        <w:rPr>
          <w:bCs/>
          <w:iCs/>
          <w:color w:val="000000"/>
          <w:lang w:val="x-none" w:eastAsia="x-none"/>
        </w:rPr>
        <w:lastRenderedPageBreak/>
        <w:t>serwerach Platformy w formie zaszyfrowanej. Zamawiający otrzyma dostęp do pliku dopiero po upływie terminu otwarcia ofert</w:t>
      </w:r>
      <w:bookmarkEnd w:id="29"/>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bookmarkStart w:id="33" w:name="_Hlk67316671"/>
      <w:r w:rsidRPr="001B365B">
        <w:rPr>
          <w:bCs/>
          <w:iCs/>
          <w:color w:val="000000"/>
          <w:lang w:val="x-none" w:eastAsia="x-none"/>
        </w:rPr>
        <w:t xml:space="preserve">W postępowaniu, wszelkie oświadczenia, wnioski, zawiadomienia oraz informacje przekazywane są za pośrednictwem Platformy </w:t>
      </w:r>
      <w:bookmarkStart w:id="34" w:name="_Hlk67316595"/>
      <w:r w:rsidRPr="001B365B">
        <w:rPr>
          <w:bCs/>
          <w:iCs/>
          <w:color w:val="000000"/>
          <w:lang w:val="x-none" w:eastAsia="x-none"/>
        </w:rPr>
        <w:t xml:space="preserve">(karta ”Wiadomości”). </w:t>
      </w:r>
      <w:bookmarkEnd w:id="34"/>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5" w:name="_Hlk37864921"/>
      <w:bookmarkStart w:id="36" w:name="_Hlk37865118"/>
      <w:bookmarkEnd w:id="33"/>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5"/>
      <w:bookmarkEnd w:id="36"/>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7"/>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8"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9" w:name="_Hlk37938975"/>
      <w:r w:rsidRPr="001B365B">
        <w:rPr>
          <w:b/>
          <w:caps/>
          <w:kern w:val="32"/>
          <w:lang w:val="x-none" w:eastAsia="x-none"/>
        </w:rPr>
        <w:t>SOBU UDZIELANIA WYJAŚNIEŃ TREŚCI SWZ</w:t>
      </w:r>
      <w:bookmarkEnd w:id="39"/>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0" w:name="_Hlk37783375"/>
      <w:bookmarkStart w:id="41"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2" w:name="_Hlk37783409"/>
      <w:bookmarkEnd w:id="40"/>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2"/>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41"/>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8"/>
    </w:p>
    <w:p w14:paraId="449A9289" w14:textId="15DEB6AC"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9D3D5E">
        <w:rPr>
          <w:b/>
          <w:bCs/>
          <w:iCs/>
          <w:color w:val="000000" w:themeColor="text1"/>
          <w:lang w:eastAsia="x-none"/>
        </w:rPr>
        <w:t>1.600,</w:t>
      </w:r>
      <w:r w:rsidRPr="001F2160">
        <w:rPr>
          <w:b/>
          <w:bCs/>
          <w:iCs/>
          <w:color w:val="000000" w:themeColor="text1"/>
          <w:lang w:val="x-none" w:eastAsia="x-none"/>
        </w:rPr>
        <w:t>00 PLN</w:t>
      </w:r>
      <w:r w:rsidRPr="001F2160">
        <w:rPr>
          <w:bCs/>
          <w:iCs/>
          <w:color w:val="000000" w:themeColor="text1"/>
          <w:lang w:val="x-none" w:eastAsia="x-none"/>
        </w:rPr>
        <w:t xml:space="preserve"> (słownie:  </w:t>
      </w:r>
      <w:r w:rsidR="009D3D5E">
        <w:rPr>
          <w:bCs/>
          <w:iCs/>
          <w:color w:val="000000" w:themeColor="text1"/>
          <w:lang w:eastAsia="x-none"/>
        </w:rPr>
        <w:t>jeden tysiąc sześćset</w:t>
      </w:r>
      <w:r w:rsidR="00C26F17" w:rsidRPr="001F2160">
        <w:rPr>
          <w:bCs/>
          <w:iCs/>
          <w:color w:val="000000" w:themeColor="text1"/>
          <w:lang w:eastAsia="x-none"/>
        </w:rPr>
        <w:t xml:space="preserve"> zł</w:t>
      </w:r>
      <w:r w:rsidRPr="001F2160">
        <w:rPr>
          <w:bCs/>
          <w:iCs/>
          <w:color w:val="000000" w:themeColor="text1"/>
          <w:lang w:val="x-none" w:eastAsia="x-none"/>
        </w:rPr>
        <w:t xml:space="preserve"> 00/100 PLN).</w:t>
      </w:r>
    </w:p>
    <w:p w14:paraId="78F4707A" w14:textId="1E97CEAB"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9D3D5E">
        <w:rPr>
          <w:b/>
          <w:bCs/>
          <w:iCs/>
          <w:color w:val="000000" w:themeColor="text1"/>
          <w:lang w:eastAsia="x-none"/>
        </w:rPr>
        <w:t>05-2</w:t>
      </w:r>
      <w:r w:rsidR="00C7521D">
        <w:rPr>
          <w:b/>
          <w:bCs/>
          <w:iCs/>
          <w:color w:val="000000" w:themeColor="text1"/>
          <w:lang w:eastAsia="x-none"/>
        </w:rPr>
        <w:t>3</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5FD2A1A2" w:rsidR="00B81D08" w:rsidRPr="00F42072" w:rsidRDefault="00B81D08" w:rsidP="00B81D08">
      <w:pPr>
        <w:numPr>
          <w:ilvl w:val="1"/>
          <w:numId w:val="1"/>
        </w:numPr>
        <w:spacing w:before="120"/>
        <w:jc w:val="both"/>
        <w:outlineLvl w:val="1"/>
        <w:rPr>
          <w:bCs/>
          <w:iCs/>
          <w:color w:val="000000" w:themeColor="text1"/>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tj. </w:t>
      </w:r>
      <w:r w:rsidRPr="003E1D99">
        <w:rPr>
          <w:b/>
          <w:iCs/>
          <w:color w:val="000000" w:themeColor="text1"/>
          <w:lang w:val="x-none" w:eastAsia="x-none"/>
        </w:rPr>
        <w:t xml:space="preserve">do dnia </w:t>
      </w:r>
      <w:r w:rsidR="00E610FC" w:rsidRPr="003E1D99">
        <w:rPr>
          <w:b/>
          <w:iCs/>
          <w:color w:val="000000" w:themeColor="text1"/>
          <w:lang w:val="x-none" w:eastAsia="x-none"/>
        </w:rPr>
        <w:t>2022-</w:t>
      </w:r>
      <w:r w:rsidR="009D3D5E">
        <w:rPr>
          <w:b/>
          <w:iCs/>
          <w:color w:val="000000" w:themeColor="text1"/>
          <w:lang w:eastAsia="x-none"/>
        </w:rPr>
        <w:t>06-2</w:t>
      </w:r>
      <w:r w:rsidR="00C7521D">
        <w:rPr>
          <w:b/>
          <w:iCs/>
          <w:color w:val="000000" w:themeColor="text1"/>
          <w:lang w:eastAsia="x-none"/>
        </w:rPr>
        <w:t>1</w:t>
      </w:r>
      <w:r w:rsidR="00E610FC" w:rsidRPr="003E1D99">
        <w:rPr>
          <w:b/>
          <w:iCs/>
          <w:color w:val="000000" w:themeColor="text1"/>
          <w:lang w:val="x-none" w:eastAsia="x-none"/>
        </w:rPr>
        <w:t>.</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1"/>
      <w:r w:rsidRPr="001B365B">
        <w:rPr>
          <w:b/>
          <w:bCs/>
          <w:caps/>
          <w:kern w:val="32"/>
          <w:lang w:val="x-none" w:eastAsia="x-none"/>
        </w:rPr>
        <w:lastRenderedPageBreak/>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3"/>
    </w:p>
    <w:p w14:paraId="07F09744" w14:textId="0642949F"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ofertą do </w:t>
      </w:r>
      <w:r w:rsidR="005D24BD" w:rsidRPr="003E1D99">
        <w:rPr>
          <w:b/>
          <w:iCs/>
          <w:color w:val="000000" w:themeColor="text1"/>
          <w:lang w:val="x-none" w:eastAsia="x-none"/>
        </w:rPr>
        <w:t>dnia 2022-</w:t>
      </w:r>
      <w:r w:rsidR="009D3D5E">
        <w:rPr>
          <w:b/>
          <w:iCs/>
          <w:color w:val="000000" w:themeColor="text1"/>
          <w:lang w:eastAsia="x-none"/>
        </w:rPr>
        <w:t>06-2</w:t>
      </w:r>
      <w:r w:rsidR="00C7521D">
        <w:rPr>
          <w:b/>
          <w:iCs/>
          <w:color w:val="000000" w:themeColor="text1"/>
          <w:lang w:eastAsia="x-none"/>
        </w:rPr>
        <w:t>1</w:t>
      </w:r>
      <w:r w:rsidR="00722D96" w:rsidRPr="003E1D99">
        <w:rPr>
          <w:b/>
          <w:iCs/>
          <w:color w:val="000000" w:themeColor="text1"/>
          <w:lang w:eastAsia="x-none"/>
        </w:rPr>
        <w:t>.</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4F85825" w14:textId="35DEEC07" w:rsidR="001B365B" w:rsidRPr="00A22746" w:rsidRDefault="00B81D08" w:rsidP="00395B4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740B23E9" w14:textId="77777777" w:rsidR="009D3D5E" w:rsidRPr="001B365B" w:rsidRDefault="009D3D5E"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2"/>
      <w:r w:rsidRPr="001B365B">
        <w:rPr>
          <w:b/>
          <w:bCs/>
          <w:caps/>
          <w:kern w:val="32"/>
          <w:lang w:val="x-none" w:eastAsia="x-none"/>
        </w:rPr>
        <w:t>Opis sposobu przygotowywania ofert</w:t>
      </w:r>
      <w:bookmarkEnd w:id="44"/>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5"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839542"/>
      <w:bookmarkStart w:id="47" w:name="_Hlk37866106"/>
      <w:bookmarkEnd w:id="45"/>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6"/>
      <w:bookmarkEnd w:id="47"/>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9"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0"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9"/>
      <w:bookmarkEnd w:id="50"/>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1" w:name="_Hlk37928068"/>
      <w:r w:rsidRPr="001B365B">
        <w:rPr>
          <w:bCs/>
          <w:iCs/>
          <w:color w:val="000000"/>
          <w:lang w:val="x-none" w:eastAsia="x-none"/>
        </w:rPr>
        <w:t>Opis sposobu przygotowania oferty składanej w formie elektronicznej lub w postaci elektronicznej</w:t>
      </w:r>
      <w:bookmarkEnd w:id="51"/>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2"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2"/>
      <w:r w:rsidRPr="001B365B">
        <w:rPr>
          <w:bCs/>
          <w:iCs/>
          <w:color w:val="000000"/>
          <w:lang w:eastAsia="x-none"/>
        </w:rPr>
        <w:t xml:space="preserve"> na karcie Informacje ogólne”;</w:t>
      </w:r>
      <w:bookmarkStart w:id="53"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4" w:name="_Hlk37939646"/>
      <w:bookmarkStart w:id="55" w:name="_Hlk37866474"/>
      <w:bookmarkEnd w:id="53"/>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xml:space="preserve">”. Po wypełnieniu Formularza rejestracyjnego Wykonawca </w:t>
      </w:r>
      <w:r w:rsidRPr="001B365B">
        <w:rPr>
          <w:rFonts w:eastAsia="Calibri"/>
          <w:bCs/>
          <w:iCs/>
          <w:color w:val="000000"/>
          <w:lang w:val="x-none" w:eastAsia="x-none"/>
        </w:rPr>
        <w:lastRenderedPageBreak/>
        <w:t>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4"/>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6"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5"/>
      <w:bookmarkEnd w:id="56"/>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7"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8" w:name="_Hlk37940020"/>
      <w:bookmarkStart w:id="59" w:name="_Hlk37866628"/>
      <w:bookmarkEnd w:id="57"/>
      <w:r w:rsidRPr="001B365B">
        <w:rPr>
          <w:rFonts w:eastAsia="Calibri"/>
          <w:bCs/>
          <w:iCs/>
          <w:lang w:eastAsia="x-none"/>
        </w:rPr>
        <w:t xml:space="preserve">wszelkie </w:t>
      </w:r>
      <w:bookmarkEnd w:id="58"/>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0" w:name="_Hlk37940112"/>
      <w:bookmarkEnd w:id="59"/>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1"/>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3"/>
      <w:r w:rsidRPr="001B365B">
        <w:rPr>
          <w:b/>
          <w:bCs/>
          <w:caps/>
          <w:kern w:val="32"/>
          <w:lang w:val="x-none" w:eastAsia="x-none"/>
        </w:rPr>
        <w:lastRenderedPageBreak/>
        <w:t>Miejsce oraz termin składania i otwarcia ofert</w:t>
      </w:r>
      <w:bookmarkEnd w:id="62"/>
    </w:p>
    <w:p w14:paraId="1476990D" w14:textId="737D5AAE" w:rsidR="001B365B" w:rsidRPr="003E1D99" w:rsidRDefault="001B365B" w:rsidP="001B365B">
      <w:pPr>
        <w:tabs>
          <w:tab w:val="left" w:pos="708"/>
        </w:tabs>
        <w:spacing w:before="120"/>
        <w:ind w:left="431"/>
        <w:jc w:val="both"/>
        <w:outlineLvl w:val="1"/>
        <w:rPr>
          <w:bCs/>
          <w:iCs/>
          <w:color w:val="000000" w:themeColor="text1"/>
          <w:lang w:val="x-none" w:eastAsia="x-none"/>
        </w:rPr>
      </w:pPr>
      <w:bookmarkStart w:id="63" w:name="_Hlk37940485"/>
      <w:bookmarkStart w:id="64" w:name="_Hlk37857777"/>
      <w:r w:rsidRPr="003E1D99">
        <w:rPr>
          <w:bCs/>
          <w:iCs/>
          <w:color w:val="000000" w:themeColor="text1"/>
          <w:lang w:val="x-none" w:eastAsia="x-none"/>
        </w:rPr>
        <w:t>Ofertę</w:t>
      </w:r>
      <w:r w:rsidRPr="003E1D99">
        <w:rPr>
          <w:bCs/>
          <w:iCs/>
          <w:color w:val="000000" w:themeColor="text1"/>
          <w:lang w:eastAsia="x-none"/>
        </w:rPr>
        <w:t>, wraz z załącznikami, należy złożyć za pośrednictwem Platformy w terminie do dnia</w:t>
      </w:r>
      <w:r w:rsidRPr="003E1D99">
        <w:rPr>
          <w:bCs/>
          <w:iCs/>
          <w:color w:val="000000" w:themeColor="text1"/>
          <w:lang w:val="x-none" w:eastAsia="x-none"/>
        </w:rPr>
        <w:t xml:space="preserve"> </w:t>
      </w:r>
      <w:r w:rsidR="00722D96" w:rsidRPr="003E1D99">
        <w:rPr>
          <w:b/>
          <w:bCs/>
          <w:iCs/>
          <w:color w:val="000000" w:themeColor="text1"/>
          <w:lang w:val="x-none" w:eastAsia="x-none"/>
        </w:rPr>
        <w:t>2022-</w:t>
      </w:r>
      <w:r w:rsidR="009D3D5E">
        <w:rPr>
          <w:b/>
          <w:bCs/>
          <w:iCs/>
          <w:color w:val="000000" w:themeColor="text1"/>
          <w:lang w:eastAsia="x-none"/>
        </w:rPr>
        <w:t>05-2</w:t>
      </w:r>
      <w:r w:rsidR="00C7521D">
        <w:rPr>
          <w:b/>
          <w:bCs/>
          <w:iCs/>
          <w:color w:val="000000" w:themeColor="text1"/>
          <w:lang w:eastAsia="x-none"/>
        </w:rPr>
        <w:t>3</w:t>
      </w:r>
      <w:r w:rsidR="00722D96" w:rsidRPr="003E1D99">
        <w:rPr>
          <w:b/>
          <w:bCs/>
          <w:iCs/>
          <w:color w:val="000000" w:themeColor="text1"/>
          <w:lang w:val="x-none" w:eastAsia="x-none"/>
        </w:rPr>
        <w:t xml:space="preserve"> </w:t>
      </w:r>
      <w:r w:rsidRPr="003E1D99">
        <w:rPr>
          <w:bCs/>
          <w:iCs/>
          <w:color w:val="000000" w:themeColor="text1"/>
          <w:lang w:val="x-none" w:eastAsia="x-none"/>
        </w:rPr>
        <w:t xml:space="preserve">do godz. </w:t>
      </w:r>
      <w:bookmarkEnd w:id="63"/>
      <w:bookmarkEnd w:id="64"/>
      <w:r w:rsidR="00B81D08" w:rsidRPr="003E1D99">
        <w:rPr>
          <w:b/>
          <w:bCs/>
          <w:iCs/>
          <w:color w:val="000000" w:themeColor="text1"/>
          <w:lang w:val="x-none" w:eastAsia="x-none"/>
        </w:rPr>
        <w:t>10:00</w:t>
      </w:r>
      <w:r w:rsidRPr="003E1D99">
        <w:rPr>
          <w:bCs/>
          <w:iCs/>
          <w:color w:val="000000" w:themeColor="text1"/>
          <w:lang w:val="x-none" w:eastAsia="x-none"/>
        </w:rPr>
        <w:t>.</w:t>
      </w:r>
    </w:p>
    <w:p w14:paraId="24DA42C5" w14:textId="77777777" w:rsidR="001B365B" w:rsidRPr="00F42072"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5" w:name="_Toc258314254"/>
      <w:r w:rsidRPr="00F42072">
        <w:rPr>
          <w:b/>
          <w:bCs/>
          <w:caps/>
          <w:color w:val="000000" w:themeColor="text1"/>
          <w:kern w:val="32"/>
          <w:lang w:eastAsia="x-none"/>
        </w:rPr>
        <w:t>termin otwarcia ofert</w:t>
      </w:r>
    </w:p>
    <w:p w14:paraId="64403823" w14:textId="38BA8410" w:rsidR="001B365B" w:rsidRPr="003E1D99" w:rsidRDefault="001B365B" w:rsidP="001B365B">
      <w:pPr>
        <w:numPr>
          <w:ilvl w:val="1"/>
          <w:numId w:val="1"/>
        </w:numPr>
        <w:spacing w:before="120"/>
        <w:jc w:val="both"/>
        <w:outlineLvl w:val="1"/>
        <w:rPr>
          <w:bCs/>
          <w:iCs/>
          <w:color w:val="000000" w:themeColor="text1"/>
          <w:lang w:eastAsia="x-none"/>
        </w:rPr>
      </w:pPr>
      <w:r w:rsidRPr="003E1D99">
        <w:rPr>
          <w:bCs/>
          <w:iCs/>
          <w:color w:val="000000" w:themeColor="text1"/>
          <w:lang w:eastAsia="x-none"/>
        </w:rPr>
        <w:t xml:space="preserve">Otwarcie </w:t>
      </w:r>
      <w:r w:rsidRPr="003E1D99">
        <w:rPr>
          <w:bCs/>
          <w:iCs/>
          <w:color w:val="000000" w:themeColor="text1"/>
          <w:lang w:val="x-none" w:eastAsia="x-none"/>
        </w:rPr>
        <w:t xml:space="preserve">ofert nastąpi w dniu: </w:t>
      </w:r>
      <w:r w:rsidR="00722D96" w:rsidRPr="003E1D99">
        <w:rPr>
          <w:b/>
          <w:bCs/>
          <w:iCs/>
          <w:color w:val="000000" w:themeColor="text1"/>
          <w:lang w:val="x-none" w:eastAsia="x-none"/>
        </w:rPr>
        <w:t>2022-</w:t>
      </w:r>
      <w:r w:rsidR="009D3D5E">
        <w:rPr>
          <w:b/>
          <w:bCs/>
          <w:iCs/>
          <w:color w:val="000000" w:themeColor="text1"/>
          <w:lang w:eastAsia="x-none"/>
        </w:rPr>
        <w:t>05-2</w:t>
      </w:r>
      <w:r w:rsidR="00C7521D">
        <w:rPr>
          <w:b/>
          <w:bCs/>
          <w:iCs/>
          <w:color w:val="000000" w:themeColor="text1"/>
          <w:lang w:eastAsia="x-none"/>
        </w:rPr>
        <w:t>3</w:t>
      </w:r>
      <w:r w:rsidR="00722D96" w:rsidRPr="003E1D99">
        <w:rPr>
          <w:b/>
          <w:bCs/>
          <w:iCs/>
          <w:color w:val="000000" w:themeColor="text1"/>
          <w:lang w:val="x-none" w:eastAsia="x-none"/>
        </w:rPr>
        <w:t xml:space="preserve"> </w:t>
      </w:r>
      <w:r w:rsidRPr="003E1D99">
        <w:rPr>
          <w:bCs/>
          <w:iCs/>
          <w:color w:val="000000" w:themeColor="text1"/>
          <w:lang w:val="x-none" w:eastAsia="x-none"/>
        </w:rPr>
        <w:t xml:space="preserve">o godz. </w:t>
      </w:r>
      <w:r w:rsidR="00B81D08" w:rsidRPr="003E1D99">
        <w:rPr>
          <w:b/>
          <w:bCs/>
          <w:iCs/>
          <w:color w:val="000000" w:themeColor="text1"/>
          <w:lang w:val="x-none" w:eastAsia="x-none"/>
        </w:rPr>
        <w:t>11:</w:t>
      </w:r>
      <w:r w:rsidR="000A1FF1">
        <w:rPr>
          <w:b/>
          <w:bCs/>
          <w:iCs/>
          <w:color w:val="000000" w:themeColor="text1"/>
          <w:lang w:eastAsia="x-none"/>
        </w:rPr>
        <w:t>3</w:t>
      </w:r>
      <w:r w:rsidR="00B81D08" w:rsidRPr="003E1D99">
        <w:rPr>
          <w:b/>
          <w:bCs/>
          <w:iCs/>
          <w:color w:val="000000" w:themeColor="text1"/>
          <w:lang w:val="x-none" w:eastAsia="x-none"/>
        </w:rPr>
        <w:t>0</w:t>
      </w:r>
      <w:r w:rsidRPr="003E1D99">
        <w:rPr>
          <w:bCs/>
          <w:iCs/>
          <w:color w:val="000000" w:themeColor="text1"/>
          <w:lang w:val="x-none" w:eastAsia="x-none"/>
        </w:rPr>
        <w:t>, za pośrednictwem Platformy, na karcie ”Oferta/Załączniki”, poprzez ich odszyfrowanie, które jest jednoznaczne</w:t>
      </w:r>
      <w:r w:rsidRPr="003E1D99">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5"/>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6" w:name="_Hlk61113033"/>
      <w:r w:rsidRPr="001B365B">
        <w:rPr>
          <w:bCs/>
          <w:iCs/>
          <w:color w:val="000000"/>
          <w:lang w:eastAsia="x-none"/>
        </w:rPr>
        <w:lastRenderedPageBreak/>
        <w:t>Wykonawca</w:t>
      </w:r>
      <w:bookmarkEnd w:id="66"/>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6A6D9375" w:rsidR="001B365B" w:rsidRPr="009D3D5E"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08BEEC6A" w14:textId="77777777" w:rsidR="009D3D5E" w:rsidRPr="001B365B" w:rsidRDefault="009D3D5E" w:rsidP="009D3D5E">
      <w:pPr>
        <w:tabs>
          <w:tab w:val="left" w:pos="708"/>
        </w:tabs>
        <w:spacing w:before="120"/>
        <w:ind w:left="1040"/>
        <w:jc w:val="both"/>
        <w:outlineLvl w:val="1"/>
        <w:rPr>
          <w:bCs/>
          <w:iCs/>
          <w:color w:val="000000"/>
          <w:lang w:val="x-none" w:eastAsia="x-none"/>
        </w:rPr>
      </w:pP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7"/>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lastRenderedPageBreak/>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A22746" w:rsidRDefault="007A3956" w:rsidP="00AD072E">
      <w:pPr>
        <w:pStyle w:val="Nagwek2"/>
        <w:rPr>
          <w:b/>
        </w:rPr>
      </w:pPr>
      <w:r w:rsidRPr="00A22746">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A22746" w:rsidRDefault="007A3956" w:rsidP="00AD072E">
      <w:pPr>
        <w:pStyle w:val="Nagwek2"/>
        <w:rPr>
          <w:b/>
        </w:rPr>
      </w:pPr>
      <w:r w:rsidRPr="00A22746">
        <w:t>Najkorzystniejszą ofertą będzie oferta, która przedstawia najkorzystniejszy bilans ceny i innych kryteriów odnoszących się do przedmiotu zamówienia publicznego.</w:t>
      </w:r>
    </w:p>
    <w:p w14:paraId="6A54DE22" w14:textId="77777777" w:rsidR="00BF05BE" w:rsidRPr="00A22746" w:rsidRDefault="00BF05BE" w:rsidP="00AD072E">
      <w:pPr>
        <w:pStyle w:val="Nagwek2"/>
      </w:pPr>
    </w:p>
    <w:p w14:paraId="28D545C2" w14:textId="303131EB" w:rsidR="001B365B" w:rsidRPr="00A22746" w:rsidRDefault="001B365B" w:rsidP="00AD072E">
      <w:pPr>
        <w:pStyle w:val="Nagwek2"/>
      </w:pPr>
      <w:r w:rsidRPr="00A22746">
        <w:t>Zamawiaj</w:t>
      </w:r>
      <w:r w:rsidRPr="00A22746">
        <w:rPr>
          <w:rFonts w:ascii="TimesNewRoman" w:eastAsia="TimesNewRoman" w:cs="TimesNewRoman"/>
        </w:rPr>
        <w:t>ą</w:t>
      </w:r>
      <w:r w:rsidRPr="00A22746">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A22746" w:rsidRDefault="007A3956" w:rsidP="00AD072E">
      <w:pPr>
        <w:pStyle w:val="Nagwek2"/>
        <w:rPr>
          <w:b/>
        </w:rPr>
      </w:pPr>
      <w:r w:rsidRPr="00A22746">
        <w:t>W celu zawarcia umowy w sprawie zamówienia publicznego, wykonawca, którego ofertę wybrano, jako najkorzystniejszą przed podpisaniem umowy składa:</w:t>
      </w:r>
    </w:p>
    <w:p w14:paraId="4885DB24" w14:textId="77777777" w:rsidR="007A3956" w:rsidRPr="00A22746" w:rsidRDefault="007A3956" w:rsidP="00AD072E">
      <w:pPr>
        <w:pStyle w:val="Nagwek2"/>
        <w:rPr>
          <w:b/>
        </w:rPr>
      </w:pPr>
      <w:r w:rsidRPr="00A22746">
        <w:t>1)</w:t>
      </w:r>
      <w:r w:rsidRPr="00A22746">
        <w:tab/>
        <w:t>pełnomocnictwo, jeżeli umowę podpisuje pełnomocnik,</w:t>
      </w:r>
    </w:p>
    <w:p w14:paraId="4FEBF51C" w14:textId="5F3B750E" w:rsidR="007A3956" w:rsidRPr="00A22746" w:rsidRDefault="007A3956" w:rsidP="00AD072E">
      <w:pPr>
        <w:pStyle w:val="Nagwek2"/>
        <w:rPr>
          <w:b/>
        </w:rPr>
      </w:pPr>
      <w:r w:rsidRPr="00A22746">
        <w:t>2)</w:t>
      </w:r>
      <w:r w:rsidRPr="00A22746">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1FD1C399"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AD0806" w:rsidRPr="00AD0806">
        <w:rPr>
          <w:b/>
          <w:bCs/>
          <w:iCs/>
          <w:color w:val="000000" w:themeColor="text1"/>
          <w:lang w:eastAsia="x-none"/>
        </w:rPr>
        <w:t>„Wtórek- przebudowa drogi ul. Zielona,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lastRenderedPageBreak/>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lastRenderedPageBreak/>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3E1D99" w:rsidRDefault="002F5924" w:rsidP="00323300">
            <w:pPr>
              <w:spacing w:before="60" w:after="120"/>
              <w:jc w:val="both"/>
              <w:rPr>
                <w:color w:val="000000" w:themeColor="text1"/>
                <w:sz w:val="22"/>
                <w:szCs w:val="22"/>
              </w:rPr>
            </w:pPr>
            <w:r w:rsidRPr="003E1D99">
              <w:rPr>
                <w:color w:val="000000" w:themeColor="text1"/>
                <w:sz w:val="22"/>
                <w:szCs w:val="22"/>
              </w:rPr>
              <w:t>Dokumentacja projektowa</w:t>
            </w:r>
          </w:p>
        </w:tc>
      </w:tr>
      <w:tr w:rsidR="00A5167B" w:rsidRPr="00921D4B" w14:paraId="50C47598" w14:textId="77777777" w:rsidTr="00870CBF">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16E3B355" w:rsidR="00A5167B" w:rsidRPr="003E1D99" w:rsidRDefault="005203DA" w:rsidP="00323300">
            <w:pPr>
              <w:spacing w:before="60" w:after="120"/>
              <w:jc w:val="both"/>
              <w:rPr>
                <w:bCs/>
                <w:color w:val="000000" w:themeColor="text1"/>
                <w:sz w:val="22"/>
                <w:szCs w:val="22"/>
              </w:rPr>
            </w:pPr>
            <w:r>
              <w:rPr>
                <w:bCs/>
                <w:color w:val="000000" w:themeColor="text1"/>
                <w:sz w:val="22"/>
                <w:szCs w:val="22"/>
              </w:rPr>
              <w:t>S</w:t>
            </w:r>
            <w:r w:rsidRPr="005203DA">
              <w:rPr>
                <w:bCs/>
                <w:color w:val="000000" w:themeColor="text1"/>
                <w:sz w:val="22"/>
                <w:szCs w:val="22"/>
              </w:rPr>
              <w:t>pecyfikacja techniczn</w:t>
            </w:r>
            <w:r>
              <w:rPr>
                <w:bCs/>
                <w:color w:val="000000" w:themeColor="text1"/>
                <w:sz w:val="22"/>
                <w:szCs w:val="22"/>
              </w:rPr>
              <w:t>a</w:t>
            </w:r>
            <w:r w:rsidRPr="005203DA">
              <w:rPr>
                <w:bCs/>
                <w:color w:val="000000" w:themeColor="text1"/>
                <w:sz w:val="22"/>
                <w:szCs w:val="22"/>
              </w:rPr>
              <w:t xml:space="preserve"> wykonania i odbioru robót budowlanych</w:t>
            </w:r>
          </w:p>
        </w:tc>
      </w:tr>
      <w:tr w:rsidR="005203DA" w:rsidRPr="00921D4B" w14:paraId="71275241" w14:textId="77777777" w:rsidTr="00870CBF">
        <w:tc>
          <w:tcPr>
            <w:tcW w:w="828" w:type="dxa"/>
            <w:tcBorders>
              <w:top w:val="single" w:sz="4" w:space="0" w:color="auto"/>
              <w:left w:val="single" w:sz="4" w:space="0" w:color="auto"/>
              <w:bottom w:val="single" w:sz="4" w:space="0" w:color="auto"/>
              <w:right w:val="single" w:sz="4" w:space="0" w:color="auto"/>
            </w:tcBorders>
          </w:tcPr>
          <w:p w14:paraId="1D4251A7" w14:textId="5EF1D9BD" w:rsidR="005203DA" w:rsidRPr="003E1D99" w:rsidRDefault="005203DA" w:rsidP="00323300">
            <w:pPr>
              <w:spacing w:before="60" w:after="120"/>
              <w:jc w:val="both"/>
              <w:rPr>
                <w:color w:val="000000" w:themeColor="text1"/>
                <w:sz w:val="22"/>
                <w:szCs w:val="22"/>
              </w:rPr>
            </w:pPr>
            <w:r>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144333CF" w14:textId="0063DF58" w:rsidR="005203DA" w:rsidRDefault="005203DA" w:rsidP="00323300">
            <w:pPr>
              <w:spacing w:before="60" w:after="120"/>
              <w:jc w:val="both"/>
              <w:rPr>
                <w:bCs/>
                <w:color w:val="000000" w:themeColor="text1"/>
                <w:sz w:val="22"/>
                <w:szCs w:val="22"/>
              </w:rPr>
            </w:pPr>
            <w:r>
              <w:rPr>
                <w:bCs/>
                <w:color w:val="000000" w:themeColor="text1"/>
                <w:sz w:val="22"/>
                <w:szCs w:val="22"/>
              </w:rPr>
              <w:t>Uzgodnienia branżowe</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69A945C9" w:rsidR="003221D5" w:rsidRDefault="003D104D">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57C30F66" w:rsidR="003221D5" w:rsidRDefault="003D104D">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32607089">
    <w:abstractNumId w:val="4"/>
  </w:num>
  <w:num w:numId="2" w16cid:durableId="866061647">
    <w:abstractNumId w:val="8"/>
  </w:num>
  <w:num w:numId="3" w16cid:durableId="544759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3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4514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872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1857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899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38532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594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5598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8983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399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6475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6760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48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877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583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6850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923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130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927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880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186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868843">
    <w:abstractNumId w:val="1"/>
  </w:num>
  <w:num w:numId="26" w16cid:durableId="1546066925">
    <w:abstractNumId w:val="11"/>
  </w:num>
  <w:num w:numId="27" w16cid:durableId="1820462551">
    <w:abstractNumId w:val="18"/>
  </w:num>
  <w:num w:numId="28" w16cid:durableId="902108334">
    <w:abstractNumId w:val="19"/>
  </w:num>
  <w:num w:numId="29" w16cid:durableId="74908827">
    <w:abstractNumId w:val="3"/>
  </w:num>
  <w:num w:numId="30" w16cid:durableId="74936321">
    <w:abstractNumId w:val="15"/>
  </w:num>
  <w:num w:numId="31" w16cid:durableId="2014986264">
    <w:abstractNumId w:val="20"/>
  </w:num>
  <w:num w:numId="32" w16cid:durableId="1880238937">
    <w:abstractNumId w:val="0"/>
  </w:num>
  <w:num w:numId="33" w16cid:durableId="77867364">
    <w:abstractNumId w:val="0"/>
    <w:lvlOverride w:ilvl="0">
      <w:startOverride w:val="1"/>
    </w:lvlOverride>
  </w:num>
  <w:num w:numId="34" w16cid:durableId="815878592">
    <w:abstractNumId w:val="30"/>
  </w:num>
  <w:num w:numId="35" w16cid:durableId="1731733164">
    <w:abstractNumId w:val="22"/>
  </w:num>
  <w:num w:numId="36" w16cid:durableId="665977403">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46CB"/>
    <w:rsid w:val="00004A7A"/>
    <w:rsid w:val="00004D89"/>
    <w:rsid w:val="000067E5"/>
    <w:rsid w:val="00012833"/>
    <w:rsid w:val="00020FF3"/>
    <w:rsid w:val="00026453"/>
    <w:rsid w:val="00031855"/>
    <w:rsid w:val="00033447"/>
    <w:rsid w:val="00034D1A"/>
    <w:rsid w:val="00036DB5"/>
    <w:rsid w:val="0004094C"/>
    <w:rsid w:val="00045F47"/>
    <w:rsid w:val="000471B4"/>
    <w:rsid w:val="00050901"/>
    <w:rsid w:val="0005301F"/>
    <w:rsid w:val="000546EA"/>
    <w:rsid w:val="00056B6A"/>
    <w:rsid w:val="0005779B"/>
    <w:rsid w:val="000666AF"/>
    <w:rsid w:val="00080783"/>
    <w:rsid w:val="00080DD3"/>
    <w:rsid w:val="00082134"/>
    <w:rsid w:val="000A1CDA"/>
    <w:rsid w:val="000A1FF1"/>
    <w:rsid w:val="000A2E0B"/>
    <w:rsid w:val="000A59AF"/>
    <w:rsid w:val="000B0575"/>
    <w:rsid w:val="000B08A9"/>
    <w:rsid w:val="000B21F4"/>
    <w:rsid w:val="000B3008"/>
    <w:rsid w:val="000B5377"/>
    <w:rsid w:val="000B6895"/>
    <w:rsid w:val="000B7041"/>
    <w:rsid w:val="000C63A2"/>
    <w:rsid w:val="000C732C"/>
    <w:rsid w:val="000D3BC4"/>
    <w:rsid w:val="000E2C96"/>
    <w:rsid w:val="000E6438"/>
    <w:rsid w:val="000E7443"/>
    <w:rsid w:val="000F01D8"/>
    <w:rsid w:val="000F53AD"/>
    <w:rsid w:val="00121075"/>
    <w:rsid w:val="00125A9A"/>
    <w:rsid w:val="00126357"/>
    <w:rsid w:val="00127036"/>
    <w:rsid w:val="001310A7"/>
    <w:rsid w:val="00133152"/>
    <w:rsid w:val="0013434C"/>
    <w:rsid w:val="0013626A"/>
    <w:rsid w:val="00141A13"/>
    <w:rsid w:val="00150032"/>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3EB"/>
    <w:rsid w:val="001F7F46"/>
    <w:rsid w:val="00201D7C"/>
    <w:rsid w:val="0020756C"/>
    <w:rsid w:val="002239C2"/>
    <w:rsid w:val="00223EF2"/>
    <w:rsid w:val="00226999"/>
    <w:rsid w:val="002306BE"/>
    <w:rsid w:val="00232EF6"/>
    <w:rsid w:val="0023697B"/>
    <w:rsid w:val="002418D0"/>
    <w:rsid w:val="00243FB4"/>
    <w:rsid w:val="002455A7"/>
    <w:rsid w:val="002457DC"/>
    <w:rsid w:val="0024673F"/>
    <w:rsid w:val="00263EFE"/>
    <w:rsid w:val="00264019"/>
    <w:rsid w:val="00264F8A"/>
    <w:rsid w:val="00273BF7"/>
    <w:rsid w:val="002746F7"/>
    <w:rsid w:val="002846CB"/>
    <w:rsid w:val="002917FE"/>
    <w:rsid w:val="00293636"/>
    <w:rsid w:val="002962E0"/>
    <w:rsid w:val="002963F2"/>
    <w:rsid w:val="002A2D4A"/>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9F7"/>
    <w:rsid w:val="00374986"/>
    <w:rsid w:val="0038188C"/>
    <w:rsid w:val="00383BC8"/>
    <w:rsid w:val="00384056"/>
    <w:rsid w:val="003843EA"/>
    <w:rsid w:val="00385BE7"/>
    <w:rsid w:val="00393666"/>
    <w:rsid w:val="00394F2F"/>
    <w:rsid w:val="00395B48"/>
    <w:rsid w:val="003C3381"/>
    <w:rsid w:val="003C478A"/>
    <w:rsid w:val="003C48AA"/>
    <w:rsid w:val="003C4BDA"/>
    <w:rsid w:val="003D0168"/>
    <w:rsid w:val="003D0409"/>
    <w:rsid w:val="003D104D"/>
    <w:rsid w:val="003D46B2"/>
    <w:rsid w:val="003D4B3D"/>
    <w:rsid w:val="003D5462"/>
    <w:rsid w:val="003D58D6"/>
    <w:rsid w:val="003D736C"/>
    <w:rsid w:val="003E0512"/>
    <w:rsid w:val="003E0A15"/>
    <w:rsid w:val="003E0C30"/>
    <w:rsid w:val="003E1D99"/>
    <w:rsid w:val="003E4B85"/>
    <w:rsid w:val="003F5A2C"/>
    <w:rsid w:val="00403B18"/>
    <w:rsid w:val="0040419B"/>
    <w:rsid w:val="004041BA"/>
    <w:rsid w:val="0041437D"/>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60B9"/>
    <w:rsid w:val="00510831"/>
    <w:rsid w:val="00514D20"/>
    <w:rsid w:val="005202E1"/>
    <w:rsid w:val="005203DA"/>
    <w:rsid w:val="0052404F"/>
    <w:rsid w:val="005241B2"/>
    <w:rsid w:val="00536FAD"/>
    <w:rsid w:val="00540CC5"/>
    <w:rsid w:val="0054473A"/>
    <w:rsid w:val="00562E86"/>
    <w:rsid w:val="005631F3"/>
    <w:rsid w:val="005671D4"/>
    <w:rsid w:val="00571EFD"/>
    <w:rsid w:val="005741F3"/>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2A08"/>
    <w:rsid w:val="00722D96"/>
    <w:rsid w:val="00725A0D"/>
    <w:rsid w:val="007275F8"/>
    <w:rsid w:val="007276D8"/>
    <w:rsid w:val="00730E7F"/>
    <w:rsid w:val="00732B5E"/>
    <w:rsid w:val="00734784"/>
    <w:rsid w:val="007356AE"/>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0249"/>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B64E2"/>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61A57"/>
    <w:rsid w:val="00966186"/>
    <w:rsid w:val="0097545D"/>
    <w:rsid w:val="00975F34"/>
    <w:rsid w:val="00983549"/>
    <w:rsid w:val="009838C7"/>
    <w:rsid w:val="0098559D"/>
    <w:rsid w:val="00990A89"/>
    <w:rsid w:val="009A4CC1"/>
    <w:rsid w:val="009A77D3"/>
    <w:rsid w:val="009B239D"/>
    <w:rsid w:val="009B4BB4"/>
    <w:rsid w:val="009B523D"/>
    <w:rsid w:val="009B52F0"/>
    <w:rsid w:val="009B5EF9"/>
    <w:rsid w:val="009B75C1"/>
    <w:rsid w:val="009C0784"/>
    <w:rsid w:val="009D2316"/>
    <w:rsid w:val="009D3D5E"/>
    <w:rsid w:val="009D760C"/>
    <w:rsid w:val="009E7B6E"/>
    <w:rsid w:val="009F0A8E"/>
    <w:rsid w:val="009F1CA7"/>
    <w:rsid w:val="009F6E91"/>
    <w:rsid w:val="00A021C0"/>
    <w:rsid w:val="00A02B5A"/>
    <w:rsid w:val="00A02B83"/>
    <w:rsid w:val="00A05E48"/>
    <w:rsid w:val="00A13671"/>
    <w:rsid w:val="00A22746"/>
    <w:rsid w:val="00A2369F"/>
    <w:rsid w:val="00A25A27"/>
    <w:rsid w:val="00A25FE8"/>
    <w:rsid w:val="00A300F2"/>
    <w:rsid w:val="00A34E0E"/>
    <w:rsid w:val="00A40A2C"/>
    <w:rsid w:val="00A42BBA"/>
    <w:rsid w:val="00A43AEE"/>
    <w:rsid w:val="00A45DC6"/>
    <w:rsid w:val="00A46681"/>
    <w:rsid w:val="00A478AC"/>
    <w:rsid w:val="00A50B70"/>
    <w:rsid w:val="00A5167B"/>
    <w:rsid w:val="00A54376"/>
    <w:rsid w:val="00A56785"/>
    <w:rsid w:val="00A56852"/>
    <w:rsid w:val="00A65329"/>
    <w:rsid w:val="00A70B48"/>
    <w:rsid w:val="00A722BA"/>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072E"/>
    <w:rsid w:val="00AD0806"/>
    <w:rsid w:val="00AD4C81"/>
    <w:rsid w:val="00AD7F2C"/>
    <w:rsid w:val="00AE0F99"/>
    <w:rsid w:val="00AE4CBE"/>
    <w:rsid w:val="00AE4E38"/>
    <w:rsid w:val="00AF1311"/>
    <w:rsid w:val="00AF616D"/>
    <w:rsid w:val="00B01B33"/>
    <w:rsid w:val="00B05777"/>
    <w:rsid w:val="00B0712C"/>
    <w:rsid w:val="00B11855"/>
    <w:rsid w:val="00B217F3"/>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5085"/>
    <w:rsid w:val="00BD75D4"/>
    <w:rsid w:val="00BE2E59"/>
    <w:rsid w:val="00BF05BE"/>
    <w:rsid w:val="00BF579F"/>
    <w:rsid w:val="00BF6DEC"/>
    <w:rsid w:val="00C00534"/>
    <w:rsid w:val="00C03499"/>
    <w:rsid w:val="00C06D30"/>
    <w:rsid w:val="00C07A8B"/>
    <w:rsid w:val="00C20DA9"/>
    <w:rsid w:val="00C26F17"/>
    <w:rsid w:val="00C2712C"/>
    <w:rsid w:val="00C3574C"/>
    <w:rsid w:val="00C4002D"/>
    <w:rsid w:val="00C4134D"/>
    <w:rsid w:val="00C4339C"/>
    <w:rsid w:val="00C530BF"/>
    <w:rsid w:val="00C5418B"/>
    <w:rsid w:val="00C70735"/>
    <w:rsid w:val="00C74BC5"/>
    <w:rsid w:val="00C7521D"/>
    <w:rsid w:val="00C76C81"/>
    <w:rsid w:val="00C83E0E"/>
    <w:rsid w:val="00C85325"/>
    <w:rsid w:val="00C908B7"/>
    <w:rsid w:val="00C9458A"/>
    <w:rsid w:val="00C94EEC"/>
    <w:rsid w:val="00CA0DE3"/>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566"/>
    <w:rsid w:val="00D45962"/>
    <w:rsid w:val="00D46BCA"/>
    <w:rsid w:val="00D65942"/>
    <w:rsid w:val="00D67BC1"/>
    <w:rsid w:val="00D81C0A"/>
    <w:rsid w:val="00D94CD8"/>
    <w:rsid w:val="00D95619"/>
    <w:rsid w:val="00DA094A"/>
    <w:rsid w:val="00DA769A"/>
    <w:rsid w:val="00DB030E"/>
    <w:rsid w:val="00DB1E0D"/>
    <w:rsid w:val="00DC3E3B"/>
    <w:rsid w:val="00DC7F49"/>
    <w:rsid w:val="00DD17F8"/>
    <w:rsid w:val="00DD574A"/>
    <w:rsid w:val="00DD6BAD"/>
    <w:rsid w:val="00DE5056"/>
    <w:rsid w:val="00DE582F"/>
    <w:rsid w:val="00DF32C3"/>
    <w:rsid w:val="00DF4EB3"/>
    <w:rsid w:val="00DF5C49"/>
    <w:rsid w:val="00E00D7F"/>
    <w:rsid w:val="00E02A74"/>
    <w:rsid w:val="00E0511E"/>
    <w:rsid w:val="00E0552F"/>
    <w:rsid w:val="00E0783F"/>
    <w:rsid w:val="00E10E4F"/>
    <w:rsid w:val="00E14BA2"/>
    <w:rsid w:val="00E156F5"/>
    <w:rsid w:val="00E20949"/>
    <w:rsid w:val="00E234D8"/>
    <w:rsid w:val="00E26EEE"/>
    <w:rsid w:val="00E30EB9"/>
    <w:rsid w:val="00E40611"/>
    <w:rsid w:val="00E44A60"/>
    <w:rsid w:val="00E528CA"/>
    <w:rsid w:val="00E547CA"/>
    <w:rsid w:val="00E610FC"/>
    <w:rsid w:val="00E64A91"/>
    <w:rsid w:val="00E65F99"/>
    <w:rsid w:val="00E66752"/>
    <w:rsid w:val="00E675C3"/>
    <w:rsid w:val="00E7448C"/>
    <w:rsid w:val="00E761B8"/>
    <w:rsid w:val="00E76CE1"/>
    <w:rsid w:val="00E83754"/>
    <w:rsid w:val="00E85EB9"/>
    <w:rsid w:val="00E879CD"/>
    <w:rsid w:val="00E964F7"/>
    <w:rsid w:val="00EA00A8"/>
    <w:rsid w:val="00EA0BDC"/>
    <w:rsid w:val="00EA6CA2"/>
    <w:rsid w:val="00EB00B6"/>
    <w:rsid w:val="00EB24E5"/>
    <w:rsid w:val="00EB6566"/>
    <w:rsid w:val="00EB7871"/>
    <w:rsid w:val="00EC4645"/>
    <w:rsid w:val="00EC4CDA"/>
    <w:rsid w:val="00ED0999"/>
    <w:rsid w:val="00EE1213"/>
    <w:rsid w:val="00EE3618"/>
    <w:rsid w:val="00EE4058"/>
    <w:rsid w:val="00EE6B1B"/>
    <w:rsid w:val="00EF0A3B"/>
    <w:rsid w:val="00EF4DD9"/>
    <w:rsid w:val="00EF5211"/>
    <w:rsid w:val="00EF7EFF"/>
    <w:rsid w:val="00F01987"/>
    <w:rsid w:val="00F06B1E"/>
    <w:rsid w:val="00F131CB"/>
    <w:rsid w:val="00F13967"/>
    <w:rsid w:val="00F234AD"/>
    <w:rsid w:val="00F23594"/>
    <w:rsid w:val="00F241C5"/>
    <w:rsid w:val="00F278EE"/>
    <w:rsid w:val="00F34EE8"/>
    <w:rsid w:val="00F42072"/>
    <w:rsid w:val="00F45322"/>
    <w:rsid w:val="00F525A3"/>
    <w:rsid w:val="00F54A60"/>
    <w:rsid w:val="00F643FC"/>
    <w:rsid w:val="00F65ACD"/>
    <w:rsid w:val="00F7086B"/>
    <w:rsid w:val="00F72137"/>
    <w:rsid w:val="00F83D72"/>
    <w:rsid w:val="00FA11A3"/>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AD072E"/>
    <w:pPr>
      <w:spacing w:before="120" w:after="60"/>
      <w:ind w:left="680"/>
      <w:jc w:val="both"/>
      <w:outlineLvl w:val="1"/>
    </w:pPr>
    <w:rPr>
      <w:iCs/>
      <w:color w:val="000000" w:themeColor="text1"/>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AD072E"/>
    <w:rPr>
      <w:iCs/>
      <w:color w:val="000000" w:themeColor="text1"/>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styleId="Nierozpoznanawzmianka">
    <w:name w:val="Unresolved Mention"/>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0661454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3346</TotalTime>
  <Pages>24</Pages>
  <Words>8403</Words>
  <Characters>50422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58708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Marlena Kruszyk</cp:lastModifiedBy>
  <cp:revision>36</cp:revision>
  <cp:lastPrinted>2022-05-05T09:32:00Z</cp:lastPrinted>
  <dcterms:created xsi:type="dcterms:W3CDTF">2021-03-22T08:10:00Z</dcterms:created>
  <dcterms:modified xsi:type="dcterms:W3CDTF">2022-05-05T10:36:00Z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